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4D06" w14:textId="064E6298" w:rsidR="009B6866" w:rsidRPr="00646046" w:rsidRDefault="009B6866" w:rsidP="009B6866">
      <w:pPr>
        <w:spacing w:after="200" w:line="276" w:lineRule="auto"/>
        <w:ind w:firstLine="0"/>
        <w:jc w:val="left"/>
        <w:rPr>
          <w:rFonts w:cs="Arial"/>
          <w:b/>
          <w:sz w:val="24"/>
          <w:szCs w:val="24"/>
        </w:rPr>
      </w:pPr>
      <w:r w:rsidRPr="00646046">
        <w:rPr>
          <w:rFonts w:cs="Arial"/>
          <w:b/>
          <w:sz w:val="24"/>
          <w:szCs w:val="24"/>
        </w:rPr>
        <w:t>Descrizione del profilo criminologico del territorio E-R</w:t>
      </w:r>
    </w:p>
    <w:p w14:paraId="5BB2A4F0" w14:textId="183C6EA1" w:rsidR="009B6866" w:rsidRPr="00646046" w:rsidRDefault="009B6866" w:rsidP="009B6866">
      <w:pPr>
        <w:spacing w:line="276" w:lineRule="auto"/>
        <w:ind w:firstLine="0"/>
        <w:rPr>
          <w:rFonts w:eastAsiaTheme="minorHAnsi" w:cs="Arial"/>
          <w:sz w:val="24"/>
          <w:szCs w:val="24"/>
          <w:lang w:eastAsia="en-US"/>
        </w:rPr>
      </w:pPr>
      <w:r>
        <w:rPr>
          <w:rFonts w:eastAsiaTheme="minorHAnsi" w:cs="Arial"/>
          <w:sz w:val="24"/>
          <w:szCs w:val="24"/>
          <w:lang w:eastAsia="en-US"/>
        </w:rPr>
        <w:t>F</w:t>
      </w:r>
      <w:r w:rsidRPr="00646046">
        <w:rPr>
          <w:rFonts w:eastAsiaTheme="minorHAnsi" w:cs="Arial"/>
          <w:sz w:val="24"/>
          <w:szCs w:val="24"/>
          <w:lang w:eastAsia="en-US"/>
        </w:rPr>
        <w:t>in dalla metà degli anni Novanta del secolo scorso</w:t>
      </w:r>
      <w:r>
        <w:rPr>
          <w:rFonts w:eastAsiaTheme="minorHAnsi" w:cs="Arial"/>
          <w:sz w:val="24"/>
          <w:szCs w:val="24"/>
          <w:lang w:eastAsia="en-US"/>
        </w:rPr>
        <w:t xml:space="preserve">, le </w:t>
      </w:r>
      <w:r w:rsidRPr="00646046">
        <w:rPr>
          <w:rFonts w:eastAsiaTheme="minorHAnsi" w:cs="Arial"/>
          <w:sz w:val="24"/>
          <w:szCs w:val="24"/>
          <w:lang w:eastAsia="en-US"/>
        </w:rPr>
        <w:t xml:space="preserve">attività di ricerca realizzate dalla Regione Emilia-Romagna </w:t>
      </w:r>
      <w:r>
        <w:rPr>
          <w:rFonts w:eastAsiaTheme="minorHAnsi" w:cs="Arial"/>
          <w:sz w:val="24"/>
          <w:szCs w:val="24"/>
          <w:lang w:eastAsia="en-US"/>
        </w:rPr>
        <w:t xml:space="preserve">hanno permesso di ricostruire </w:t>
      </w:r>
      <w:r w:rsidRPr="00646046">
        <w:rPr>
          <w:rFonts w:eastAsiaTheme="minorHAnsi" w:cs="Arial"/>
          <w:sz w:val="24"/>
          <w:szCs w:val="24"/>
          <w:lang w:eastAsia="en-US"/>
        </w:rPr>
        <w:t xml:space="preserve">un quadro articolato </w:t>
      </w:r>
      <w:r>
        <w:rPr>
          <w:rFonts w:eastAsiaTheme="minorHAnsi" w:cs="Arial"/>
          <w:sz w:val="24"/>
          <w:szCs w:val="24"/>
          <w:lang w:eastAsia="en-US"/>
        </w:rPr>
        <w:t xml:space="preserve">della presenza </w:t>
      </w:r>
      <w:r w:rsidRPr="00646046">
        <w:rPr>
          <w:rFonts w:eastAsiaTheme="minorHAnsi" w:cs="Arial"/>
          <w:sz w:val="24"/>
          <w:szCs w:val="24"/>
          <w:lang w:eastAsia="en-US"/>
        </w:rPr>
        <w:t xml:space="preserve">delle organizzazioni criminali </w:t>
      </w:r>
      <w:r>
        <w:rPr>
          <w:rFonts w:eastAsiaTheme="minorHAnsi" w:cs="Arial"/>
          <w:sz w:val="24"/>
          <w:szCs w:val="24"/>
          <w:lang w:eastAsia="en-US"/>
        </w:rPr>
        <w:t xml:space="preserve">in regione e di </w:t>
      </w:r>
      <w:r w:rsidRPr="00646046">
        <w:rPr>
          <w:rFonts w:eastAsiaTheme="minorHAnsi" w:cs="Arial"/>
          <w:sz w:val="24"/>
          <w:szCs w:val="24"/>
          <w:lang w:eastAsia="en-US"/>
        </w:rPr>
        <w:t xml:space="preserve">comprendere </w:t>
      </w:r>
      <w:r>
        <w:rPr>
          <w:rFonts w:eastAsiaTheme="minorHAnsi" w:cs="Arial"/>
          <w:sz w:val="24"/>
          <w:szCs w:val="24"/>
          <w:lang w:eastAsia="en-US"/>
        </w:rPr>
        <w:t xml:space="preserve">le </w:t>
      </w:r>
      <w:r w:rsidRPr="00646046">
        <w:rPr>
          <w:rFonts w:eastAsiaTheme="minorHAnsi" w:cs="Arial"/>
          <w:sz w:val="24"/>
          <w:szCs w:val="24"/>
          <w:lang w:eastAsia="en-US"/>
        </w:rPr>
        <w:t xml:space="preserve">strategie </w:t>
      </w:r>
      <w:r>
        <w:rPr>
          <w:rFonts w:eastAsiaTheme="minorHAnsi" w:cs="Arial"/>
          <w:sz w:val="24"/>
          <w:szCs w:val="24"/>
          <w:lang w:eastAsia="en-US"/>
        </w:rPr>
        <w:t xml:space="preserve">adottate da tali organizzazioni </w:t>
      </w:r>
      <w:r w:rsidRPr="00646046">
        <w:rPr>
          <w:rFonts w:eastAsiaTheme="minorHAnsi" w:cs="Arial"/>
          <w:sz w:val="24"/>
          <w:szCs w:val="24"/>
          <w:lang w:eastAsia="en-US"/>
        </w:rPr>
        <w:t>nello spostamento e nell’insediamento di uomini nel territorio</w:t>
      </w:r>
      <w:r>
        <w:rPr>
          <w:rFonts w:eastAsiaTheme="minorHAnsi" w:cs="Arial"/>
          <w:sz w:val="24"/>
          <w:szCs w:val="24"/>
          <w:lang w:eastAsia="en-US"/>
        </w:rPr>
        <w:t xml:space="preserve"> </w:t>
      </w:r>
      <w:r w:rsidRPr="00646046">
        <w:rPr>
          <w:rFonts w:eastAsiaTheme="minorHAnsi" w:cs="Arial"/>
          <w:sz w:val="24"/>
          <w:szCs w:val="24"/>
          <w:lang w:eastAsia="en-US"/>
        </w:rPr>
        <w:t xml:space="preserve">per </w:t>
      </w:r>
      <w:r>
        <w:rPr>
          <w:rFonts w:eastAsiaTheme="minorHAnsi" w:cs="Arial"/>
          <w:sz w:val="24"/>
          <w:szCs w:val="24"/>
          <w:lang w:eastAsia="en-US"/>
        </w:rPr>
        <w:t xml:space="preserve">condurre attività lecite e illecite e organizzare i </w:t>
      </w:r>
      <w:r w:rsidRPr="00646046">
        <w:rPr>
          <w:rFonts w:eastAsiaTheme="minorHAnsi" w:cs="Arial"/>
          <w:sz w:val="24"/>
          <w:szCs w:val="24"/>
          <w:lang w:eastAsia="en-US"/>
        </w:rPr>
        <w:t>traffici</w:t>
      </w:r>
      <w:r>
        <w:rPr>
          <w:rFonts w:eastAsiaTheme="minorHAnsi" w:cs="Arial"/>
          <w:sz w:val="24"/>
          <w:szCs w:val="24"/>
          <w:lang w:eastAsia="en-US"/>
        </w:rPr>
        <w:t xml:space="preserve"> illegali</w:t>
      </w:r>
      <w:r w:rsidRPr="00646046">
        <w:rPr>
          <w:rFonts w:eastAsiaTheme="minorHAnsi" w:cs="Arial"/>
          <w:sz w:val="24"/>
          <w:szCs w:val="24"/>
          <w:lang w:eastAsia="en-US"/>
        </w:rPr>
        <w:t>.</w:t>
      </w:r>
    </w:p>
    <w:p w14:paraId="6F6E6925" w14:textId="03CFF24A"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A differenza di altre regioni del Nord</w:t>
      </w:r>
      <w:r w:rsidR="006C43CD">
        <w:rPr>
          <w:rFonts w:eastAsiaTheme="minorHAnsi" w:cs="Arial"/>
          <w:sz w:val="24"/>
          <w:szCs w:val="24"/>
          <w:lang w:eastAsia="en-US"/>
        </w:rPr>
        <w:t xml:space="preserve"> Italia</w:t>
      </w:r>
      <w:r w:rsidRPr="00646046">
        <w:rPr>
          <w:rFonts w:eastAsiaTheme="minorHAnsi" w:cs="Arial"/>
          <w:sz w:val="24"/>
          <w:szCs w:val="24"/>
          <w:lang w:eastAsia="en-US"/>
        </w:rPr>
        <w:t xml:space="preserve">, il controllo del territorio da parte di organizzazioni criminali </w:t>
      </w:r>
      <w:r w:rsidR="006C43CD" w:rsidRPr="00646046">
        <w:rPr>
          <w:rFonts w:eastAsiaTheme="minorHAnsi" w:cs="Arial"/>
          <w:sz w:val="24"/>
          <w:szCs w:val="24"/>
          <w:lang w:eastAsia="en-US"/>
        </w:rPr>
        <w:t xml:space="preserve">in Emilia-Romagna </w:t>
      </w:r>
      <w:r w:rsidRPr="00646046">
        <w:rPr>
          <w:rFonts w:eastAsiaTheme="minorHAnsi" w:cs="Arial"/>
          <w:sz w:val="24"/>
          <w:szCs w:val="24"/>
          <w:lang w:eastAsia="en-US"/>
        </w:rPr>
        <w:t xml:space="preserve">risulta </w:t>
      </w:r>
      <w:r w:rsidR="00DC0FEA">
        <w:rPr>
          <w:rFonts w:eastAsiaTheme="minorHAnsi" w:cs="Arial"/>
          <w:sz w:val="24"/>
          <w:szCs w:val="24"/>
          <w:lang w:eastAsia="en-US"/>
        </w:rPr>
        <w:t xml:space="preserve">ancora </w:t>
      </w:r>
      <w:r w:rsidRPr="00646046">
        <w:rPr>
          <w:rFonts w:eastAsiaTheme="minorHAnsi" w:cs="Arial"/>
          <w:sz w:val="24"/>
          <w:szCs w:val="24"/>
          <w:lang w:eastAsia="en-US"/>
        </w:rPr>
        <w:t xml:space="preserve">assente, mentre la loro attività principale e più remunerativa è costituita dai traffici illeciti, in particolare dal traffico di stupefacenti. Le altre attività rilevanti </w:t>
      </w:r>
      <w:r w:rsidR="006C62B5">
        <w:rPr>
          <w:rFonts w:eastAsiaTheme="minorHAnsi" w:cs="Arial"/>
          <w:sz w:val="24"/>
          <w:szCs w:val="24"/>
          <w:lang w:eastAsia="en-US"/>
        </w:rPr>
        <w:t xml:space="preserve">delle </w:t>
      </w:r>
      <w:r w:rsidRPr="00646046">
        <w:rPr>
          <w:rFonts w:eastAsiaTheme="minorHAnsi" w:cs="Arial"/>
          <w:sz w:val="24"/>
          <w:szCs w:val="24"/>
          <w:lang w:eastAsia="en-US"/>
        </w:rPr>
        <w:t>mafie in Emilia-Romagna riguardano l’edilizia pubblica e privata, il movimento terra e autotrasporti, l’usura, il recupero crediti, la gestione e il controllo illegale del gioco d’azzardo, le estorsioni, l’intestazione fittizia di beni e il riciclaggio.</w:t>
      </w:r>
    </w:p>
    <w:p w14:paraId="79C4A819" w14:textId="77777777"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La ricerca sul territorio pone in evidenza l’importanza assunta da elementi di origine locale nel favorire l’ingresso di attività criminali organizzate nel territorio regionale. ‘</w:t>
      </w:r>
      <w:proofErr w:type="spellStart"/>
      <w:r w:rsidR="006C43CD">
        <w:rPr>
          <w:rFonts w:eastAsiaTheme="minorHAnsi" w:cs="Arial"/>
          <w:sz w:val="24"/>
          <w:szCs w:val="24"/>
          <w:lang w:eastAsia="en-US"/>
        </w:rPr>
        <w:t>Ndranghetisti</w:t>
      </w:r>
      <w:proofErr w:type="spellEnd"/>
      <w:r w:rsidR="006C43CD">
        <w:rPr>
          <w:rFonts w:eastAsiaTheme="minorHAnsi" w:cs="Arial"/>
          <w:sz w:val="24"/>
          <w:szCs w:val="24"/>
          <w:lang w:eastAsia="en-US"/>
        </w:rPr>
        <w:t xml:space="preserve"> e casalesi</w:t>
      </w:r>
      <w:r w:rsidRPr="00646046">
        <w:rPr>
          <w:rFonts w:eastAsiaTheme="minorHAnsi" w:cs="Arial"/>
          <w:sz w:val="24"/>
          <w:szCs w:val="24"/>
          <w:lang w:eastAsia="en-US"/>
        </w:rPr>
        <w:t xml:space="preserve">, </w:t>
      </w:r>
      <w:r w:rsidR="006C43CD">
        <w:rPr>
          <w:rFonts w:eastAsiaTheme="minorHAnsi" w:cs="Arial"/>
          <w:sz w:val="24"/>
          <w:szCs w:val="24"/>
          <w:lang w:eastAsia="en-US"/>
        </w:rPr>
        <w:t xml:space="preserve">afferenti alle </w:t>
      </w:r>
      <w:r w:rsidRPr="00646046">
        <w:rPr>
          <w:rFonts w:eastAsiaTheme="minorHAnsi" w:cs="Arial"/>
          <w:sz w:val="24"/>
          <w:szCs w:val="24"/>
          <w:lang w:eastAsia="en-US"/>
        </w:rPr>
        <w:t xml:space="preserve">due organizzazioni </w:t>
      </w:r>
      <w:r w:rsidR="006C43CD">
        <w:rPr>
          <w:rFonts w:eastAsiaTheme="minorHAnsi" w:cs="Arial"/>
          <w:sz w:val="24"/>
          <w:szCs w:val="24"/>
          <w:lang w:eastAsia="en-US"/>
        </w:rPr>
        <w:t xml:space="preserve">criminali </w:t>
      </w:r>
      <w:r w:rsidRPr="00646046">
        <w:rPr>
          <w:rFonts w:eastAsiaTheme="minorHAnsi" w:cs="Arial"/>
          <w:sz w:val="24"/>
          <w:szCs w:val="24"/>
          <w:lang w:eastAsia="en-US"/>
        </w:rPr>
        <w:t>più significative in Emilia-Romagna, puntano alla mimetizzazione sociale, a non richiamare l’attenzione e a passare inosservati. In altre parole, le organizzazioni mafiose hanno adottato meccanismi di infiltrazione diversi da quelli tradizionali al fine di rendersi assai più invisibili e quindi anche più difficilmente decifrabili. La loro azione in tal modo si confonde spesso con quella di operatori che si muovono nella legalità.</w:t>
      </w:r>
    </w:p>
    <w:p w14:paraId="0871CA6F" w14:textId="77777777"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Le realtà </w:t>
      </w:r>
      <w:r w:rsidR="006C62B5">
        <w:rPr>
          <w:rFonts w:eastAsiaTheme="minorHAnsi" w:cs="Arial"/>
          <w:sz w:val="24"/>
          <w:szCs w:val="24"/>
          <w:lang w:eastAsia="en-US"/>
        </w:rPr>
        <w:t xml:space="preserve">territoriali </w:t>
      </w:r>
      <w:r w:rsidRPr="00646046">
        <w:rPr>
          <w:rFonts w:eastAsiaTheme="minorHAnsi" w:cs="Arial"/>
          <w:sz w:val="24"/>
          <w:szCs w:val="24"/>
          <w:lang w:eastAsia="en-US"/>
        </w:rPr>
        <w:t>più vulnerabili, ma anche quelle più studiate e conosciute, sono quelle di Reggio Emilia e Modena, dove le indagini confermano la presenza di ‘</w:t>
      </w:r>
      <w:proofErr w:type="spellStart"/>
      <w:r w:rsidRPr="00646046">
        <w:rPr>
          <w:rFonts w:eastAsiaTheme="minorHAnsi" w:cs="Arial"/>
          <w:sz w:val="24"/>
          <w:szCs w:val="24"/>
          <w:lang w:eastAsia="en-US"/>
        </w:rPr>
        <w:t>ndranghetisti</w:t>
      </w:r>
      <w:proofErr w:type="spellEnd"/>
      <w:r w:rsidRPr="00646046">
        <w:rPr>
          <w:rFonts w:eastAsiaTheme="minorHAnsi" w:cs="Arial"/>
          <w:sz w:val="24"/>
          <w:szCs w:val="24"/>
          <w:lang w:eastAsia="en-US"/>
        </w:rPr>
        <w:t xml:space="preserve"> e casalesi nei cantieri edili. È l’edilizia, infatti, il settore più vulnerabile all’infiltrazione mafiosa in Emilia-Romagna e dove i processi di corruzione e di </w:t>
      </w:r>
      <w:r w:rsidR="006C62B5">
        <w:rPr>
          <w:rFonts w:eastAsiaTheme="minorHAnsi" w:cs="Arial"/>
          <w:sz w:val="24"/>
          <w:szCs w:val="24"/>
          <w:lang w:eastAsia="en-US"/>
        </w:rPr>
        <w:t xml:space="preserve">condizionamento </w:t>
      </w:r>
      <w:r w:rsidRPr="00646046">
        <w:rPr>
          <w:rFonts w:eastAsiaTheme="minorHAnsi" w:cs="Arial"/>
          <w:sz w:val="24"/>
          <w:szCs w:val="24"/>
          <w:lang w:eastAsia="en-US"/>
        </w:rPr>
        <w:t>della criminalità organizzata sono più visibili e consolidati, come dimostrato anche dall’inchiesta Aemilia, il cui impianto accusatorio è stato recentemente confermato nel primo grado di giudizio.</w:t>
      </w:r>
    </w:p>
    <w:p w14:paraId="106FC7D6" w14:textId="39F3E7D1" w:rsidR="009B686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Parma è la città in cui si segnala una presenza significativa di Cosa nostra, con cellule collegate alla famiglia Panepinto di Bivona (AG), per il resto poco presente nel territorio regionale.</w:t>
      </w:r>
    </w:p>
    <w:p w14:paraId="5D10FE09" w14:textId="338D1A3F" w:rsidR="00C92134" w:rsidRPr="00646046" w:rsidRDefault="00C92134" w:rsidP="009B6866">
      <w:pPr>
        <w:spacing w:line="276" w:lineRule="auto"/>
        <w:ind w:firstLine="0"/>
        <w:rPr>
          <w:rFonts w:eastAsiaTheme="minorHAnsi" w:cs="Arial"/>
          <w:sz w:val="24"/>
          <w:szCs w:val="24"/>
          <w:lang w:eastAsia="en-US"/>
        </w:rPr>
      </w:pPr>
      <w:r w:rsidRPr="00C92134">
        <w:rPr>
          <w:rFonts w:eastAsiaTheme="minorHAnsi" w:cs="Arial"/>
          <w:sz w:val="24"/>
          <w:szCs w:val="24"/>
          <w:lang w:eastAsia="en-US"/>
        </w:rPr>
        <w:t>Negli ultimi tempi alle presenze mafiose italiane si sono aggiunti sodalizi criminali d’origine straniera</w:t>
      </w:r>
      <w:r>
        <w:rPr>
          <w:rFonts w:eastAsiaTheme="minorHAnsi" w:cs="Arial"/>
          <w:sz w:val="24"/>
          <w:szCs w:val="24"/>
          <w:lang w:eastAsia="en-US"/>
        </w:rPr>
        <w:t>, in particolare albanese e nigeriana,</w:t>
      </w:r>
      <w:r w:rsidRPr="00C92134">
        <w:rPr>
          <w:rFonts w:eastAsiaTheme="minorHAnsi" w:cs="Arial"/>
          <w:sz w:val="24"/>
          <w:szCs w:val="24"/>
          <w:lang w:eastAsia="en-US"/>
        </w:rPr>
        <w:t xml:space="preserve"> attivi principalmente nel traffico di stupefacenti e nella tratta di esseri umani finalizzata allo sfruttamento della prostituzione.</w:t>
      </w:r>
    </w:p>
    <w:p w14:paraId="2B522978" w14:textId="77777777"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Anche nel mercato immobiliare si segnala nella regione un notevole attivismo delle cosche mafiose, in particolare nella città di Bologna. Si tratta di un settore strategico, che consente di reinvestire capitali illeciti ed acquisire patrimoni immobiliari, in genere utilizzando acquirenti fittizi. Anche in questo caso si rivela fondamentale il ruolo giocato da “faccendieri” locali e prestanome nel mondo delle professioni. Il riciclaggio risulta così essere una delle attività più fiorenti della criminalità organizzata in Emilia-Romagna e si manifesta attraverso acquisti di attività commerciali, imprese ed immobili.</w:t>
      </w:r>
    </w:p>
    <w:p w14:paraId="0A0DBA70" w14:textId="77777777"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Anche l’area della Romagna è stata interessata da una crescente infiltrazione delle mafie, come testimoniano le diverse inchieste condotte dall’autorità giudiziaria. Nella riviera romagnola, ed in particolare nella provincia di Rimini, le mafie si sono concentrate in attività legate al narcotraffico, gioco d’azzardo, recupero crediti, usura, estorsioni, gestione di locali notturni, intestazione fittizia di beni ed il riciclaggio.</w:t>
      </w:r>
    </w:p>
    <w:p w14:paraId="4BB605FF" w14:textId="29296CC5" w:rsidR="009B686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lastRenderedPageBreak/>
        <w:t>An</w:t>
      </w:r>
      <w:r w:rsidR="00C92134">
        <w:rPr>
          <w:rFonts w:eastAsiaTheme="minorHAnsi" w:cs="Arial"/>
          <w:sz w:val="24"/>
          <w:szCs w:val="24"/>
          <w:lang w:eastAsia="en-US"/>
        </w:rPr>
        <w:t xml:space="preserve">cora </w:t>
      </w:r>
      <w:r w:rsidRPr="00646046">
        <w:rPr>
          <w:rFonts w:eastAsiaTheme="minorHAnsi" w:cs="Arial"/>
          <w:sz w:val="24"/>
          <w:szCs w:val="24"/>
          <w:lang w:eastAsia="en-US"/>
        </w:rPr>
        <w:t xml:space="preserve">negli anni più recenti il controllo del mercato degli stupefacenti in Emilia-Romagna assume una rilevanza fondamentale per le organizzazioni criminali. È infatti da questa attività che tali organizzazioni criminali traggono la porzione più consistente dei loro profitti, da reinvestire poi in parte anche nelle attività del mercato legale attraverso complesse attività di riciclaggio. </w:t>
      </w:r>
    </w:p>
    <w:p w14:paraId="2110E107" w14:textId="43F962E8" w:rsidR="006C62B5" w:rsidRDefault="005D16A6" w:rsidP="009B6866">
      <w:pPr>
        <w:spacing w:line="276" w:lineRule="auto"/>
        <w:ind w:firstLine="0"/>
        <w:rPr>
          <w:rFonts w:eastAsiaTheme="minorHAnsi" w:cs="Arial"/>
          <w:sz w:val="24"/>
          <w:szCs w:val="24"/>
          <w:lang w:eastAsia="en-US"/>
        </w:rPr>
      </w:pPr>
      <w:r>
        <w:rPr>
          <w:rFonts w:eastAsiaTheme="minorHAnsi" w:cs="Arial"/>
          <w:sz w:val="24"/>
          <w:szCs w:val="24"/>
          <w:lang w:eastAsia="en-US"/>
        </w:rPr>
        <w:t xml:space="preserve">Secondo i dati pubblicati </w:t>
      </w:r>
      <w:r w:rsidR="00082CAC">
        <w:rPr>
          <w:rFonts w:eastAsiaTheme="minorHAnsi" w:cs="Arial"/>
          <w:sz w:val="24"/>
          <w:szCs w:val="24"/>
          <w:lang w:eastAsia="en-US"/>
        </w:rPr>
        <w:t xml:space="preserve">dalla </w:t>
      </w:r>
      <w:r w:rsidR="00C74E99">
        <w:rPr>
          <w:rFonts w:eastAsiaTheme="minorHAnsi" w:cs="Arial"/>
          <w:sz w:val="24"/>
          <w:szCs w:val="24"/>
          <w:lang w:eastAsia="en-US"/>
        </w:rPr>
        <w:t>D</w:t>
      </w:r>
      <w:r w:rsidR="00C74E99" w:rsidRPr="00C74E99">
        <w:rPr>
          <w:rFonts w:eastAsiaTheme="minorHAnsi" w:cs="Arial"/>
          <w:sz w:val="24"/>
          <w:szCs w:val="24"/>
          <w:lang w:eastAsia="en-US"/>
        </w:rPr>
        <w:t>irezione centrale per i servizi antidroga</w:t>
      </w:r>
      <w:r w:rsidR="00C74E99">
        <w:rPr>
          <w:rFonts w:eastAsiaTheme="minorHAnsi" w:cs="Arial"/>
          <w:sz w:val="24"/>
          <w:szCs w:val="24"/>
          <w:lang w:eastAsia="en-US"/>
        </w:rPr>
        <w:t xml:space="preserve"> del Ministero dell’Interno, negli ultimi dieci anni (dal 2009 al 2018) in regione sono state eseguite dalle forze di polizia circa 18 mila operazioni antidroga (l’8% di quelle </w:t>
      </w:r>
      <w:r w:rsidR="00D92E87">
        <w:rPr>
          <w:rFonts w:eastAsiaTheme="minorHAnsi" w:cs="Arial"/>
          <w:sz w:val="24"/>
          <w:szCs w:val="24"/>
          <w:lang w:eastAsia="en-US"/>
        </w:rPr>
        <w:t>condotte</w:t>
      </w:r>
      <w:r w:rsidR="00C74E99">
        <w:rPr>
          <w:rFonts w:eastAsiaTheme="minorHAnsi" w:cs="Arial"/>
          <w:sz w:val="24"/>
          <w:szCs w:val="24"/>
          <w:lang w:eastAsia="en-US"/>
        </w:rPr>
        <w:t xml:space="preserve"> a livello nazionale).  </w:t>
      </w:r>
      <w:r w:rsidR="006B7F99">
        <w:rPr>
          <w:rFonts w:eastAsiaTheme="minorHAnsi" w:cs="Arial"/>
          <w:sz w:val="24"/>
          <w:szCs w:val="24"/>
          <w:lang w:eastAsia="en-US"/>
        </w:rPr>
        <w:t xml:space="preserve">In seguito a </w:t>
      </w:r>
      <w:r w:rsidR="00C74E99">
        <w:rPr>
          <w:rFonts w:eastAsiaTheme="minorHAnsi" w:cs="Arial"/>
          <w:sz w:val="24"/>
          <w:szCs w:val="24"/>
          <w:lang w:eastAsia="en-US"/>
        </w:rPr>
        <w:t xml:space="preserve">queste operazioni sono state segnalate all’Autorità giudiziaria circa 26 mila persone, di cui </w:t>
      </w:r>
      <w:r w:rsidR="006720FA">
        <w:rPr>
          <w:rFonts w:eastAsiaTheme="minorHAnsi" w:cs="Arial"/>
          <w:sz w:val="24"/>
          <w:szCs w:val="24"/>
          <w:lang w:eastAsia="en-US"/>
        </w:rPr>
        <w:t xml:space="preserve">oltre </w:t>
      </w:r>
      <w:r w:rsidR="00C74E99">
        <w:rPr>
          <w:rFonts w:eastAsiaTheme="minorHAnsi" w:cs="Arial"/>
          <w:sz w:val="24"/>
          <w:szCs w:val="24"/>
          <w:lang w:eastAsia="en-US"/>
        </w:rPr>
        <w:t xml:space="preserve">la metà di origine straniera (va detto </w:t>
      </w:r>
      <w:r w:rsidR="00D92E87">
        <w:rPr>
          <w:rFonts w:eastAsiaTheme="minorHAnsi" w:cs="Arial"/>
          <w:sz w:val="24"/>
          <w:szCs w:val="24"/>
          <w:lang w:eastAsia="en-US"/>
        </w:rPr>
        <w:t xml:space="preserve">a questo proposito </w:t>
      </w:r>
      <w:r w:rsidR="00C74E99">
        <w:rPr>
          <w:rFonts w:eastAsiaTheme="minorHAnsi" w:cs="Arial"/>
          <w:sz w:val="24"/>
          <w:szCs w:val="24"/>
          <w:lang w:eastAsia="en-US"/>
        </w:rPr>
        <w:t xml:space="preserve">che molti soggetti stranieri sono presenti nella parte terminale nella catena del narcotraffico, ovvero nell’attività di spaccio, ma questo non esclude che le </w:t>
      </w:r>
      <w:r w:rsidR="006B7F99">
        <w:rPr>
          <w:rFonts w:eastAsiaTheme="minorHAnsi" w:cs="Arial"/>
          <w:sz w:val="24"/>
          <w:szCs w:val="24"/>
          <w:lang w:eastAsia="en-US"/>
        </w:rPr>
        <w:t xml:space="preserve">organizzazioni criminali </w:t>
      </w:r>
      <w:r w:rsidR="00C74E99">
        <w:rPr>
          <w:rFonts w:eastAsiaTheme="minorHAnsi" w:cs="Arial"/>
          <w:sz w:val="24"/>
          <w:szCs w:val="24"/>
          <w:lang w:eastAsia="en-US"/>
        </w:rPr>
        <w:t xml:space="preserve">straniere ricoprano anche ruoli </w:t>
      </w:r>
      <w:r w:rsidR="00D92E87">
        <w:rPr>
          <w:rFonts w:eastAsiaTheme="minorHAnsi" w:cs="Arial"/>
          <w:sz w:val="24"/>
          <w:szCs w:val="24"/>
          <w:lang w:eastAsia="en-US"/>
        </w:rPr>
        <w:t xml:space="preserve">significativi </w:t>
      </w:r>
      <w:r w:rsidR="00C74E99">
        <w:rPr>
          <w:rFonts w:eastAsiaTheme="minorHAnsi" w:cs="Arial"/>
          <w:sz w:val="24"/>
          <w:szCs w:val="24"/>
          <w:lang w:eastAsia="en-US"/>
        </w:rPr>
        <w:t xml:space="preserve">in questo lucroso </w:t>
      </w:r>
      <w:r w:rsidR="006B7F99">
        <w:rPr>
          <w:rFonts w:eastAsiaTheme="minorHAnsi" w:cs="Arial"/>
          <w:sz w:val="24"/>
          <w:szCs w:val="24"/>
          <w:lang w:eastAsia="en-US"/>
        </w:rPr>
        <w:t>mercato</w:t>
      </w:r>
      <w:r w:rsidR="00C74E99">
        <w:rPr>
          <w:rFonts w:eastAsiaTheme="minorHAnsi" w:cs="Arial"/>
          <w:sz w:val="24"/>
          <w:szCs w:val="24"/>
          <w:lang w:eastAsia="en-US"/>
        </w:rPr>
        <w:t>)</w:t>
      </w:r>
      <w:r w:rsidR="006B7F99">
        <w:rPr>
          <w:rFonts w:eastAsiaTheme="minorHAnsi" w:cs="Arial"/>
          <w:sz w:val="24"/>
          <w:szCs w:val="24"/>
          <w:lang w:eastAsia="en-US"/>
        </w:rPr>
        <w:t xml:space="preserve">. Inoltre, da queste operazioni </w:t>
      </w:r>
      <w:r w:rsidR="00C74E99">
        <w:rPr>
          <w:rFonts w:eastAsiaTheme="minorHAnsi" w:cs="Arial"/>
          <w:sz w:val="24"/>
          <w:szCs w:val="24"/>
          <w:lang w:eastAsia="en-US"/>
        </w:rPr>
        <w:t>sono state sequestrate oltre 26 mila chili di sostanze stupefacenti</w:t>
      </w:r>
      <w:r w:rsidR="005A0AAD">
        <w:rPr>
          <w:rFonts w:eastAsiaTheme="minorHAnsi" w:cs="Arial"/>
          <w:sz w:val="24"/>
          <w:szCs w:val="24"/>
          <w:lang w:eastAsia="en-US"/>
        </w:rPr>
        <w:t xml:space="preserve"> </w:t>
      </w:r>
      <w:r w:rsidR="006B7F99">
        <w:rPr>
          <w:rFonts w:eastAsiaTheme="minorHAnsi" w:cs="Arial"/>
          <w:sz w:val="24"/>
          <w:szCs w:val="24"/>
          <w:lang w:eastAsia="en-US"/>
        </w:rPr>
        <w:t xml:space="preserve">- 26 tonnellate -, pari al </w:t>
      </w:r>
      <w:r w:rsidR="005A0AAD">
        <w:rPr>
          <w:rFonts w:eastAsiaTheme="minorHAnsi" w:cs="Arial"/>
          <w:sz w:val="24"/>
          <w:szCs w:val="24"/>
          <w:lang w:eastAsia="en-US"/>
        </w:rPr>
        <w:t xml:space="preserve">4% di quanto è stato sequestrato a livello nazionale, di cui circa l’80% di </w:t>
      </w:r>
      <w:r w:rsidR="00D92E87">
        <w:rPr>
          <w:rFonts w:eastAsiaTheme="minorHAnsi" w:cs="Arial"/>
          <w:sz w:val="24"/>
          <w:szCs w:val="24"/>
          <w:lang w:eastAsia="en-US"/>
        </w:rPr>
        <w:t>hashish</w:t>
      </w:r>
      <w:r w:rsidR="005A0AAD">
        <w:rPr>
          <w:rFonts w:eastAsiaTheme="minorHAnsi" w:cs="Arial"/>
          <w:sz w:val="24"/>
          <w:szCs w:val="24"/>
          <w:lang w:eastAsia="en-US"/>
        </w:rPr>
        <w:t xml:space="preserve"> e marijuana </w:t>
      </w:r>
      <w:r w:rsidR="006B7F99">
        <w:rPr>
          <w:rFonts w:eastAsiaTheme="minorHAnsi" w:cs="Arial"/>
          <w:sz w:val="24"/>
          <w:szCs w:val="24"/>
          <w:lang w:eastAsia="en-US"/>
        </w:rPr>
        <w:t xml:space="preserve">e </w:t>
      </w:r>
      <w:r w:rsidR="005A0AAD">
        <w:rPr>
          <w:rFonts w:eastAsiaTheme="minorHAnsi" w:cs="Arial"/>
          <w:sz w:val="24"/>
          <w:szCs w:val="24"/>
          <w:lang w:eastAsia="en-US"/>
        </w:rPr>
        <w:t xml:space="preserve">la parte </w:t>
      </w:r>
      <w:r w:rsidR="00D92E87">
        <w:rPr>
          <w:rFonts w:eastAsiaTheme="minorHAnsi" w:cs="Arial"/>
          <w:sz w:val="24"/>
          <w:szCs w:val="24"/>
          <w:lang w:eastAsia="en-US"/>
        </w:rPr>
        <w:t xml:space="preserve">rimanente </w:t>
      </w:r>
      <w:r w:rsidR="005A0AAD">
        <w:rPr>
          <w:rFonts w:eastAsiaTheme="minorHAnsi" w:cs="Arial"/>
          <w:sz w:val="24"/>
          <w:szCs w:val="24"/>
          <w:lang w:eastAsia="en-US"/>
        </w:rPr>
        <w:t xml:space="preserve">di eroina e cocaina. Se </w:t>
      </w:r>
      <w:r w:rsidR="00997D79">
        <w:rPr>
          <w:rFonts w:eastAsiaTheme="minorHAnsi" w:cs="Arial"/>
          <w:sz w:val="24"/>
          <w:szCs w:val="24"/>
          <w:lang w:eastAsia="en-US"/>
        </w:rPr>
        <w:t xml:space="preserve">alla quantità di </w:t>
      </w:r>
      <w:r w:rsidR="006B7F99">
        <w:rPr>
          <w:rFonts w:eastAsiaTheme="minorHAnsi" w:cs="Arial"/>
          <w:sz w:val="24"/>
          <w:szCs w:val="24"/>
          <w:lang w:eastAsia="en-US"/>
        </w:rPr>
        <w:t xml:space="preserve">sostanze appena </w:t>
      </w:r>
      <w:r w:rsidR="00D92E87">
        <w:rPr>
          <w:rFonts w:eastAsiaTheme="minorHAnsi" w:cs="Arial"/>
          <w:sz w:val="24"/>
          <w:szCs w:val="24"/>
          <w:lang w:eastAsia="en-US"/>
        </w:rPr>
        <w:t>ricordat</w:t>
      </w:r>
      <w:r w:rsidR="006B7F99">
        <w:rPr>
          <w:rFonts w:eastAsiaTheme="minorHAnsi" w:cs="Arial"/>
          <w:sz w:val="24"/>
          <w:szCs w:val="24"/>
          <w:lang w:eastAsia="en-US"/>
        </w:rPr>
        <w:t>e</w:t>
      </w:r>
      <w:r w:rsidR="00D92E87">
        <w:rPr>
          <w:rFonts w:eastAsiaTheme="minorHAnsi" w:cs="Arial"/>
          <w:sz w:val="24"/>
          <w:szCs w:val="24"/>
          <w:lang w:eastAsia="en-US"/>
        </w:rPr>
        <w:t xml:space="preserve"> </w:t>
      </w:r>
      <w:r w:rsidR="006B7F99">
        <w:rPr>
          <w:rFonts w:eastAsiaTheme="minorHAnsi" w:cs="Arial"/>
          <w:sz w:val="24"/>
          <w:szCs w:val="24"/>
          <w:lang w:eastAsia="en-US"/>
        </w:rPr>
        <w:t xml:space="preserve">si aggiunge la quantità di </w:t>
      </w:r>
      <w:r w:rsidR="00D92E87">
        <w:rPr>
          <w:rFonts w:eastAsiaTheme="minorHAnsi" w:cs="Arial"/>
          <w:sz w:val="24"/>
          <w:szCs w:val="24"/>
          <w:lang w:eastAsia="en-US"/>
        </w:rPr>
        <w:t xml:space="preserve">droghe sintetiche </w:t>
      </w:r>
      <w:r w:rsidR="00997D79">
        <w:rPr>
          <w:rFonts w:eastAsiaTheme="minorHAnsi" w:cs="Arial"/>
          <w:sz w:val="24"/>
          <w:szCs w:val="24"/>
          <w:lang w:eastAsia="en-US"/>
        </w:rPr>
        <w:t xml:space="preserve">anch’esse </w:t>
      </w:r>
      <w:r w:rsidR="006B7F99">
        <w:rPr>
          <w:rFonts w:eastAsiaTheme="minorHAnsi" w:cs="Arial"/>
          <w:sz w:val="24"/>
          <w:szCs w:val="24"/>
          <w:lang w:eastAsia="en-US"/>
        </w:rPr>
        <w:t xml:space="preserve">sequestrate </w:t>
      </w:r>
      <w:r w:rsidR="00D92E87">
        <w:rPr>
          <w:rFonts w:eastAsiaTheme="minorHAnsi" w:cs="Arial"/>
          <w:sz w:val="24"/>
          <w:szCs w:val="24"/>
          <w:lang w:eastAsia="en-US"/>
        </w:rPr>
        <w:t>(</w:t>
      </w:r>
      <w:r w:rsidR="006B7F99">
        <w:rPr>
          <w:rFonts w:eastAsiaTheme="minorHAnsi" w:cs="Arial"/>
          <w:sz w:val="24"/>
          <w:szCs w:val="24"/>
          <w:lang w:eastAsia="en-US"/>
        </w:rPr>
        <w:t xml:space="preserve">e </w:t>
      </w:r>
      <w:r w:rsidR="00D92E87">
        <w:rPr>
          <w:rFonts w:eastAsiaTheme="minorHAnsi" w:cs="Arial"/>
          <w:sz w:val="24"/>
          <w:szCs w:val="24"/>
          <w:lang w:eastAsia="en-US"/>
        </w:rPr>
        <w:t>qui non conteggiate)</w:t>
      </w:r>
      <w:r w:rsidR="006B7F99">
        <w:rPr>
          <w:rFonts w:eastAsiaTheme="minorHAnsi" w:cs="Arial"/>
          <w:sz w:val="24"/>
          <w:szCs w:val="24"/>
          <w:lang w:eastAsia="en-US"/>
        </w:rPr>
        <w:t xml:space="preserve">, oltre alla </w:t>
      </w:r>
      <w:r w:rsidR="00D92E87">
        <w:rPr>
          <w:rFonts w:eastAsiaTheme="minorHAnsi" w:cs="Arial"/>
          <w:sz w:val="24"/>
          <w:szCs w:val="24"/>
          <w:lang w:eastAsia="en-US"/>
        </w:rPr>
        <w:t xml:space="preserve">quota </w:t>
      </w:r>
      <w:r w:rsidR="00B50BBE">
        <w:rPr>
          <w:rFonts w:eastAsiaTheme="minorHAnsi" w:cs="Arial"/>
          <w:sz w:val="24"/>
          <w:szCs w:val="24"/>
          <w:lang w:eastAsia="en-US"/>
        </w:rPr>
        <w:t>di sostanze</w:t>
      </w:r>
      <w:r w:rsidR="006B7F99">
        <w:rPr>
          <w:rFonts w:eastAsiaTheme="minorHAnsi" w:cs="Arial"/>
          <w:sz w:val="24"/>
          <w:szCs w:val="24"/>
          <w:lang w:eastAsia="en-US"/>
        </w:rPr>
        <w:t xml:space="preserve"> </w:t>
      </w:r>
      <w:r w:rsidR="00D92E87">
        <w:rPr>
          <w:rFonts w:eastAsiaTheme="minorHAnsi" w:cs="Arial"/>
          <w:sz w:val="24"/>
          <w:szCs w:val="24"/>
          <w:lang w:eastAsia="en-US"/>
        </w:rPr>
        <w:t xml:space="preserve">– </w:t>
      </w:r>
      <w:r w:rsidR="007D06FE">
        <w:rPr>
          <w:rFonts w:eastAsiaTheme="minorHAnsi" w:cs="Arial"/>
          <w:sz w:val="24"/>
          <w:szCs w:val="24"/>
          <w:lang w:eastAsia="en-US"/>
        </w:rPr>
        <w:t>ragionevol</w:t>
      </w:r>
      <w:r w:rsidR="00D92E87">
        <w:rPr>
          <w:rFonts w:eastAsiaTheme="minorHAnsi" w:cs="Arial"/>
          <w:sz w:val="24"/>
          <w:szCs w:val="24"/>
          <w:lang w:eastAsia="en-US"/>
        </w:rPr>
        <w:t>mente</w:t>
      </w:r>
      <w:r w:rsidR="00B50BBE">
        <w:rPr>
          <w:rFonts w:eastAsiaTheme="minorHAnsi" w:cs="Arial"/>
          <w:sz w:val="24"/>
          <w:szCs w:val="24"/>
          <w:lang w:eastAsia="en-US"/>
        </w:rPr>
        <w:t xml:space="preserve"> </w:t>
      </w:r>
      <w:r w:rsidR="00D92E87">
        <w:rPr>
          <w:rFonts w:eastAsiaTheme="minorHAnsi" w:cs="Arial"/>
          <w:sz w:val="24"/>
          <w:szCs w:val="24"/>
          <w:lang w:eastAsia="en-US"/>
        </w:rPr>
        <w:t>preponderante – immessa sul mercato perché non intercettata dalle forze di polizia possiamo immaginare quanto sia vasto il mercato delle droghe nella nostra regione</w:t>
      </w:r>
      <w:r w:rsidR="006B7F99">
        <w:rPr>
          <w:rFonts w:eastAsiaTheme="minorHAnsi" w:cs="Arial"/>
          <w:sz w:val="24"/>
          <w:szCs w:val="24"/>
          <w:lang w:eastAsia="en-US"/>
        </w:rPr>
        <w:t xml:space="preserve"> e quanto significativ</w:t>
      </w:r>
      <w:r w:rsidR="00BB0515">
        <w:rPr>
          <w:rFonts w:eastAsiaTheme="minorHAnsi" w:cs="Arial"/>
          <w:sz w:val="24"/>
          <w:szCs w:val="24"/>
          <w:lang w:eastAsia="en-US"/>
        </w:rPr>
        <w:t>i</w:t>
      </w:r>
      <w:r w:rsidR="006720FA">
        <w:rPr>
          <w:rFonts w:eastAsiaTheme="minorHAnsi" w:cs="Arial"/>
          <w:sz w:val="24"/>
          <w:szCs w:val="24"/>
          <w:lang w:eastAsia="en-US"/>
        </w:rPr>
        <w:t xml:space="preserve"> i ricavi </w:t>
      </w:r>
      <w:r w:rsidR="006B7F99">
        <w:rPr>
          <w:rFonts w:eastAsiaTheme="minorHAnsi" w:cs="Arial"/>
          <w:sz w:val="24"/>
          <w:szCs w:val="24"/>
          <w:lang w:eastAsia="en-US"/>
        </w:rPr>
        <w:t xml:space="preserve">per le organizzazioni criminali che lo gestiscono, </w:t>
      </w:r>
      <w:r w:rsidR="006720FA">
        <w:rPr>
          <w:rFonts w:eastAsiaTheme="minorHAnsi" w:cs="Arial"/>
          <w:sz w:val="24"/>
          <w:szCs w:val="24"/>
          <w:lang w:eastAsia="en-US"/>
        </w:rPr>
        <w:t>i quali,</w:t>
      </w:r>
      <w:r w:rsidR="006B7F99">
        <w:rPr>
          <w:rFonts w:eastAsiaTheme="minorHAnsi" w:cs="Arial"/>
          <w:sz w:val="24"/>
          <w:szCs w:val="24"/>
          <w:lang w:eastAsia="en-US"/>
        </w:rPr>
        <w:t xml:space="preserve"> come si è detto, vengono ripuliti e reinvestiti in attività legali </w:t>
      </w:r>
      <w:r w:rsidR="006720FA">
        <w:rPr>
          <w:rFonts w:eastAsiaTheme="minorHAnsi" w:cs="Arial"/>
          <w:sz w:val="24"/>
          <w:szCs w:val="24"/>
          <w:lang w:eastAsia="en-US"/>
        </w:rPr>
        <w:t xml:space="preserve">spesso </w:t>
      </w:r>
      <w:r w:rsidR="006B7F99">
        <w:rPr>
          <w:rFonts w:eastAsiaTheme="minorHAnsi" w:cs="Arial"/>
          <w:sz w:val="24"/>
          <w:szCs w:val="24"/>
          <w:lang w:eastAsia="en-US"/>
        </w:rPr>
        <w:t xml:space="preserve">grazie </w:t>
      </w:r>
      <w:r w:rsidR="00285BB4">
        <w:rPr>
          <w:rFonts w:eastAsiaTheme="minorHAnsi" w:cs="Arial"/>
          <w:sz w:val="24"/>
          <w:szCs w:val="24"/>
          <w:lang w:eastAsia="en-US"/>
        </w:rPr>
        <w:t xml:space="preserve">anche </w:t>
      </w:r>
      <w:r w:rsidR="006720FA">
        <w:rPr>
          <w:rFonts w:eastAsiaTheme="minorHAnsi" w:cs="Arial"/>
          <w:sz w:val="24"/>
          <w:szCs w:val="24"/>
          <w:lang w:eastAsia="en-US"/>
        </w:rPr>
        <w:t xml:space="preserve">al coinvolgimento di </w:t>
      </w:r>
      <w:r w:rsidR="006B7F99">
        <w:rPr>
          <w:rFonts w:eastAsiaTheme="minorHAnsi" w:cs="Arial"/>
          <w:sz w:val="24"/>
          <w:szCs w:val="24"/>
          <w:lang w:eastAsia="en-US"/>
        </w:rPr>
        <w:t xml:space="preserve">esponenti della </w:t>
      </w:r>
      <w:r w:rsidR="00AA4791">
        <w:rPr>
          <w:rFonts w:eastAsiaTheme="minorHAnsi" w:cs="Arial"/>
          <w:sz w:val="24"/>
          <w:szCs w:val="24"/>
          <w:lang w:eastAsia="en-US"/>
        </w:rPr>
        <w:t>c.d. area grigia</w:t>
      </w:r>
      <w:r w:rsidR="006720FA">
        <w:rPr>
          <w:rFonts w:eastAsiaTheme="minorHAnsi" w:cs="Arial"/>
          <w:sz w:val="24"/>
          <w:szCs w:val="24"/>
          <w:lang w:eastAsia="en-US"/>
        </w:rPr>
        <w:t>.</w:t>
      </w:r>
    </w:p>
    <w:p w14:paraId="5CA80D35" w14:textId="77777777"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Il riciclaggio dei capitali illeciti è infatti l’attività terminale per bonificare i capitali provenienti da tutta una serie di attività criminali e che avviene attraverso più fasi e una molteplicità di canali che si vanno sempre di più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appunto all’investimento in attività lecite a ripulitura avvenuta. </w:t>
      </w:r>
    </w:p>
    <w:p w14:paraId="360F9208" w14:textId="2F2E2373" w:rsidR="009B6866" w:rsidRPr="00646046" w:rsidRDefault="009B6866" w:rsidP="009B6866">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Nel corso degli ultimi decenni l’attività di contrasto alla criminalità organizzata si è molto concentrata sull’attacco ai capitali di origine illecita e ciò è avvenuto anche grazie al supporto di un sistema di prevenzione che è un importante complemento all’attività di repressione dei reati, intercettando e ostacolando l’impiego e la dissimulazione dei relativi proventi. In questo sistema di prevenzione l’Unità di Informazione Finanziaria (UIF), istituita presso la Banca d’Italia dal d.lgs. n. 231/2007 (che è la cornice legislativa 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dette informazioni l’UIF effettua l’analisi finanziaria, utilizzando l’insieme delle fonti e dei poteri di cui dispone, e valuta la rilevanza ai fini della trasmissione agli organi investigativi e della collaborazione con l’autorità giudiziaria, per l’eventuale sviluppo dell’azione di repressione. </w:t>
      </w:r>
    </w:p>
    <w:p w14:paraId="255A3733" w14:textId="23D91227" w:rsidR="004538CB" w:rsidRDefault="009B6866" w:rsidP="007742B5">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Secondo i dati pubblicati </w:t>
      </w:r>
      <w:r w:rsidR="00997D79">
        <w:rPr>
          <w:rFonts w:eastAsiaTheme="minorHAnsi" w:cs="Arial"/>
          <w:sz w:val="24"/>
          <w:szCs w:val="24"/>
          <w:lang w:eastAsia="en-US"/>
        </w:rPr>
        <w:t xml:space="preserve">annualmente </w:t>
      </w:r>
      <w:r w:rsidRPr="00646046">
        <w:rPr>
          <w:rFonts w:eastAsiaTheme="minorHAnsi" w:cs="Arial"/>
          <w:sz w:val="24"/>
          <w:szCs w:val="24"/>
          <w:lang w:eastAsia="en-US"/>
        </w:rPr>
        <w:t xml:space="preserve">da questo organismo, </w:t>
      </w:r>
      <w:r w:rsidR="000C00FF">
        <w:rPr>
          <w:rFonts w:eastAsiaTheme="minorHAnsi" w:cs="Arial"/>
          <w:sz w:val="24"/>
          <w:szCs w:val="24"/>
          <w:lang w:eastAsia="en-US"/>
        </w:rPr>
        <w:t xml:space="preserve">negli ultimi dieci anni (dal 2009 al 2018) in Emilia-Romagna </w:t>
      </w:r>
      <w:r w:rsidR="00285BB4">
        <w:rPr>
          <w:rFonts w:eastAsiaTheme="minorHAnsi" w:cs="Arial"/>
          <w:sz w:val="24"/>
          <w:szCs w:val="24"/>
          <w:lang w:eastAsia="en-US"/>
        </w:rPr>
        <w:t xml:space="preserve">sono </w:t>
      </w:r>
      <w:r w:rsidR="000C00FF">
        <w:rPr>
          <w:rFonts w:eastAsiaTheme="minorHAnsi" w:cs="Arial"/>
          <w:sz w:val="24"/>
          <w:szCs w:val="24"/>
          <w:lang w:eastAsia="en-US"/>
        </w:rPr>
        <w:t>stat</w:t>
      </w:r>
      <w:r w:rsidR="00997D79">
        <w:rPr>
          <w:rFonts w:eastAsiaTheme="minorHAnsi" w:cs="Arial"/>
          <w:sz w:val="24"/>
          <w:szCs w:val="24"/>
          <w:lang w:eastAsia="en-US"/>
        </w:rPr>
        <w:t>e</w:t>
      </w:r>
      <w:r w:rsidR="000C00FF">
        <w:rPr>
          <w:rFonts w:eastAsiaTheme="minorHAnsi" w:cs="Arial"/>
          <w:sz w:val="24"/>
          <w:szCs w:val="24"/>
          <w:lang w:eastAsia="en-US"/>
        </w:rPr>
        <w:t xml:space="preserve"> </w:t>
      </w:r>
      <w:r w:rsidR="000C00FF" w:rsidRPr="00646046">
        <w:rPr>
          <w:rFonts w:eastAsiaTheme="minorHAnsi" w:cs="Arial"/>
          <w:sz w:val="24"/>
          <w:szCs w:val="24"/>
          <w:lang w:eastAsia="en-US"/>
        </w:rPr>
        <w:t>segnalat</w:t>
      </w:r>
      <w:r w:rsidR="000C00FF">
        <w:rPr>
          <w:rFonts w:eastAsiaTheme="minorHAnsi" w:cs="Arial"/>
          <w:sz w:val="24"/>
          <w:szCs w:val="24"/>
          <w:lang w:eastAsia="en-US"/>
        </w:rPr>
        <w:t>e</w:t>
      </w:r>
      <w:r w:rsidR="000C00FF" w:rsidRPr="00646046">
        <w:rPr>
          <w:rFonts w:eastAsiaTheme="minorHAnsi" w:cs="Arial"/>
          <w:sz w:val="24"/>
          <w:szCs w:val="24"/>
          <w:lang w:eastAsia="en-US"/>
        </w:rPr>
        <w:t xml:space="preserve"> </w:t>
      </w:r>
      <w:r w:rsidR="00285BB4">
        <w:rPr>
          <w:rFonts w:eastAsiaTheme="minorHAnsi" w:cs="Arial"/>
          <w:sz w:val="24"/>
          <w:szCs w:val="24"/>
          <w:lang w:eastAsia="en-US"/>
        </w:rPr>
        <w:t xml:space="preserve">all’UIF </w:t>
      </w:r>
      <w:r w:rsidR="000C00FF" w:rsidRPr="00646046">
        <w:rPr>
          <w:rFonts w:eastAsiaTheme="minorHAnsi" w:cs="Arial"/>
          <w:sz w:val="24"/>
          <w:szCs w:val="24"/>
          <w:lang w:eastAsia="en-US"/>
        </w:rPr>
        <w:t xml:space="preserve">quasi </w:t>
      </w:r>
      <w:r w:rsidR="000C00FF">
        <w:rPr>
          <w:rFonts w:eastAsiaTheme="minorHAnsi" w:cs="Arial"/>
          <w:sz w:val="24"/>
          <w:szCs w:val="24"/>
          <w:lang w:eastAsia="en-US"/>
        </w:rPr>
        <w:t>50.000</w:t>
      </w:r>
      <w:r w:rsidR="000C00FF" w:rsidRPr="00646046">
        <w:rPr>
          <w:rFonts w:eastAsiaTheme="minorHAnsi" w:cs="Arial"/>
          <w:sz w:val="24"/>
          <w:szCs w:val="24"/>
          <w:lang w:eastAsia="en-US"/>
        </w:rPr>
        <w:t xml:space="preserve"> operazioni sospette di riciclaggio</w:t>
      </w:r>
      <w:r w:rsidR="000C00FF">
        <w:rPr>
          <w:rFonts w:eastAsiaTheme="minorHAnsi" w:cs="Arial"/>
          <w:sz w:val="24"/>
          <w:szCs w:val="24"/>
          <w:lang w:eastAsia="en-US"/>
        </w:rPr>
        <w:t xml:space="preserve">, pari </w:t>
      </w:r>
      <w:r w:rsidR="00997D79">
        <w:rPr>
          <w:rFonts w:eastAsiaTheme="minorHAnsi" w:cs="Arial"/>
          <w:sz w:val="24"/>
          <w:szCs w:val="24"/>
          <w:lang w:eastAsia="en-US"/>
        </w:rPr>
        <w:t xml:space="preserve">al </w:t>
      </w:r>
      <w:r w:rsidR="000C00FF">
        <w:rPr>
          <w:rFonts w:eastAsiaTheme="minorHAnsi" w:cs="Arial"/>
          <w:sz w:val="24"/>
          <w:szCs w:val="24"/>
          <w:lang w:eastAsia="en-US"/>
        </w:rPr>
        <w:t xml:space="preserve">10% di tutte le </w:t>
      </w:r>
      <w:r w:rsidR="00997D79">
        <w:rPr>
          <w:rFonts w:eastAsiaTheme="minorHAnsi" w:cs="Arial"/>
          <w:sz w:val="24"/>
          <w:szCs w:val="24"/>
          <w:lang w:eastAsia="en-US"/>
        </w:rPr>
        <w:t xml:space="preserve">segnalazioni avvenute </w:t>
      </w:r>
      <w:r w:rsidR="000C00FF">
        <w:rPr>
          <w:rFonts w:eastAsiaTheme="minorHAnsi" w:cs="Arial"/>
          <w:sz w:val="24"/>
          <w:szCs w:val="24"/>
          <w:lang w:eastAsia="en-US"/>
        </w:rPr>
        <w:t xml:space="preserve">nel territorio nazionale. </w:t>
      </w:r>
      <w:r w:rsidR="000C00FF">
        <w:rPr>
          <w:rFonts w:eastAsiaTheme="minorHAnsi" w:cs="Arial"/>
          <w:sz w:val="24"/>
          <w:szCs w:val="24"/>
          <w:lang w:eastAsia="en-US"/>
        </w:rPr>
        <w:lastRenderedPageBreak/>
        <w:t>Osservando</w:t>
      </w:r>
      <w:r w:rsidR="00997D79">
        <w:rPr>
          <w:rFonts w:eastAsiaTheme="minorHAnsi" w:cs="Arial"/>
          <w:sz w:val="24"/>
          <w:szCs w:val="24"/>
          <w:lang w:eastAsia="en-US"/>
        </w:rPr>
        <w:t>ne</w:t>
      </w:r>
      <w:r w:rsidR="000C00FF">
        <w:rPr>
          <w:rFonts w:eastAsiaTheme="minorHAnsi" w:cs="Arial"/>
          <w:sz w:val="24"/>
          <w:szCs w:val="24"/>
          <w:lang w:eastAsia="en-US"/>
        </w:rPr>
        <w:t xml:space="preserve"> l’andamento</w:t>
      </w:r>
      <w:r w:rsidR="006720FA">
        <w:rPr>
          <w:rFonts w:eastAsiaTheme="minorHAnsi" w:cs="Arial"/>
          <w:sz w:val="24"/>
          <w:szCs w:val="24"/>
          <w:lang w:eastAsia="en-US"/>
        </w:rPr>
        <w:t xml:space="preserve"> nel tempo</w:t>
      </w:r>
      <w:r w:rsidR="00997D79">
        <w:rPr>
          <w:rFonts w:eastAsiaTheme="minorHAnsi" w:cs="Arial"/>
          <w:sz w:val="24"/>
          <w:szCs w:val="24"/>
          <w:lang w:eastAsia="en-US"/>
        </w:rPr>
        <w:t xml:space="preserve">, </w:t>
      </w:r>
      <w:r w:rsidR="006720FA">
        <w:rPr>
          <w:rFonts w:eastAsiaTheme="minorHAnsi" w:cs="Arial"/>
          <w:sz w:val="24"/>
          <w:szCs w:val="24"/>
          <w:lang w:eastAsia="en-US"/>
        </w:rPr>
        <w:t xml:space="preserve">va detto che </w:t>
      </w:r>
      <w:r w:rsidR="00997D79">
        <w:rPr>
          <w:rFonts w:eastAsiaTheme="minorHAnsi" w:cs="Arial"/>
          <w:sz w:val="24"/>
          <w:szCs w:val="24"/>
          <w:lang w:eastAsia="en-US"/>
        </w:rPr>
        <w:t xml:space="preserve">il numero </w:t>
      </w:r>
      <w:r w:rsidR="00285BB4">
        <w:rPr>
          <w:rFonts w:eastAsiaTheme="minorHAnsi" w:cs="Arial"/>
          <w:sz w:val="24"/>
          <w:szCs w:val="24"/>
          <w:lang w:eastAsia="en-US"/>
        </w:rPr>
        <w:t xml:space="preserve">di segnalazioni </w:t>
      </w:r>
      <w:r w:rsidR="00997D79">
        <w:rPr>
          <w:rFonts w:eastAsiaTheme="minorHAnsi" w:cs="Arial"/>
          <w:sz w:val="24"/>
          <w:szCs w:val="24"/>
          <w:lang w:eastAsia="en-US"/>
        </w:rPr>
        <w:t>è aumentato costantemente</w:t>
      </w:r>
      <w:r w:rsidR="006720FA">
        <w:rPr>
          <w:rFonts w:eastAsiaTheme="minorHAnsi" w:cs="Arial"/>
          <w:sz w:val="24"/>
          <w:szCs w:val="24"/>
          <w:lang w:eastAsia="en-US"/>
        </w:rPr>
        <w:t xml:space="preserve"> in Emilia-Romagna e nel resto dell’Italia</w:t>
      </w:r>
      <w:r w:rsidR="00997D79">
        <w:rPr>
          <w:rFonts w:eastAsiaTheme="minorHAnsi" w:cs="Arial"/>
          <w:sz w:val="24"/>
          <w:szCs w:val="24"/>
          <w:lang w:eastAsia="en-US"/>
        </w:rPr>
        <w:t xml:space="preserve">, </w:t>
      </w:r>
      <w:r w:rsidR="006720FA">
        <w:rPr>
          <w:rFonts w:eastAsiaTheme="minorHAnsi" w:cs="Arial"/>
          <w:sz w:val="24"/>
          <w:szCs w:val="24"/>
          <w:lang w:eastAsia="en-US"/>
        </w:rPr>
        <w:t>e ciò va interpretato sicuramente come</w:t>
      </w:r>
      <w:r w:rsidR="00CE02D0">
        <w:rPr>
          <w:rFonts w:eastAsiaTheme="minorHAnsi" w:cs="Arial"/>
          <w:sz w:val="24"/>
          <w:szCs w:val="24"/>
          <w:lang w:eastAsia="en-US"/>
        </w:rPr>
        <w:t xml:space="preserve"> un </w:t>
      </w:r>
      <w:r w:rsidR="004538CB">
        <w:rPr>
          <w:rFonts w:eastAsiaTheme="minorHAnsi" w:cs="Arial"/>
          <w:sz w:val="24"/>
          <w:szCs w:val="24"/>
          <w:lang w:eastAsia="en-US"/>
        </w:rPr>
        <w:t xml:space="preserve">possibile </w:t>
      </w:r>
      <w:r w:rsidR="00BB0515">
        <w:rPr>
          <w:rFonts w:eastAsiaTheme="minorHAnsi" w:cs="Arial"/>
          <w:sz w:val="24"/>
          <w:szCs w:val="24"/>
          <w:lang w:eastAsia="en-US"/>
        </w:rPr>
        <w:t xml:space="preserve">tentativo di </w:t>
      </w:r>
      <w:r w:rsidR="006720FA">
        <w:rPr>
          <w:rFonts w:eastAsiaTheme="minorHAnsi" w:cs="Arial"/>
          <w:sz w:val="24"/>
          <w:szCs w:val="24"/>
          <w:lang w:eastAsia="en-US"/>
        </w:rPr>
        <w:t xml:space="preserve">espansione criminale nell’economia legale, ma </w:t>
      </w:r>
      <w:r w:rsidR="00BB0515">
        <w:rPr>
          <w:rFonts w:eastAsiaTheme="minorHAnsi" w:cs="Arial"/>
          <w:sz w:val="24"/>
          <w:szCs w:val="24"/>
          <w:lang w:eastAsia="en-US"/>
        </w:rPr>
        <w:t xml:space="preserve">probabilmente </w:t>
      </w:r>
      <w:r w:rsidR="006720FA">
        <w:rPr>
          <w:rFonts w:eastAsiaTheme="minorHAnsi" w:cs="Arial"/>
          <w:sz w:val="24"/>
          <w:szCs w:val="24"/>
          <w:lang w:eastAsia="en-US"/>
        </w:rPr>
        <w:t xml:space="preserve">anche </w:t>
      </w:r>
      <w:r w:rsidR="00CE02D0">
        <w:rPr>
          <w:rFonts w:eastAsiaTheme="minorHAnsi" w:cs="Arial"/>
          <w:sz w:val="24"/>
          <w:szCs w:val="24"/>
          <w:lang w:eastAsia="en-US"/>
        </w:rPr>
        <w:t xml:space="preserve">di una accresciuta sensibilità e attenzione </w:t>
      </w:r>
      <w:r w:rsidR="006720FA">
        <w:rPr>
          <w:rFonts w:eastAsiaTheme="minorHAnsi" w:cs="Arial"/>
          <w:sz w:val="24"/>
          <w:szCs w:val="24"/>
          <w:lang w:eastAsia="en-US"/>
        </w:rPr>
        <w:t xml:space="preserve">per il problema del riciclaggio </w:t>
      </w:r>
      <w:r w:rsidR="00997D79">
        <w:rPr>
          <w:rFonts w:eastAsiaTheme="minorHAnsi" w:cs="Arial"/>
          <w:sz w:val="24"/>
          <w:szCs w:val="24"/>
          <w:lang w:eastAsia="en-US"/>
        </w:rPr>
        <w:t xml:space="preserve">da parte dei soggetti che sono </w:t>
      </w:r>
      <w:r w:rsidR="006720FA">
        <w:rPr>
          <w:rFonts w:eastAsiaTheme="minorHAnsi" w:cs="Arial"/>
          <w:sz w:val="24"/>
          <w:szCs w:val="24"/>
          <w:lang w:eastAsia="en-US"/>
        </w:rPr>
        <w:t xml:space="preserve">incaricati </w:t>
      </w:r>
      <w:r w:rsidR="00997D79">
        <w:rPr>
          <w:rFonts w:eastAsiaTheme="minorHAnsi" w:cs="Arial"/>
          <w:sz w:val="24"/>
          <w:szCs w:val="24"/>
          <w:lang w:eastAsia="en-US"/>
        </w:rPr>
        <w:t>a trasmettere le segnalazioni all’U</w:t>
      </w:r>
      <w:r w:rsidR="00285BB4">
        <w:rPr>
          <w:rFonts w:eastAsiaTheme="minorHAnsi" w:cs="Arial"/>
          <w:sz w:val="24"/>
          <w:szCs w:val="24"/>
          <w:lang w:eastAsia="en-US"/>
        </w:rPr>
        <w:t>IF</w:t>
      </w:r>
      <w:r w:rsidR="00CE02D0">
        <w:rPr>
          <w:rFonts w:eastAsiaTheme="minorHAnsi" w:cs="Arial"/>
          <w:sz w:val="24"/>
          <w:szCs w:val="24"/>
          <w:lang w:eastAsia="en-US"/>
        </w:rPr>
        <w:t xml:space="preserve">, ovvero principalmente degli operatori finanziari e in second’ordine dei professionisti </w:t>
      </w:r>
      <w:r w:rsidR="00997D79">
        <w:rPr>
          <w:rFonts w:eastAsiaTheme="minorHAnsi" w:cs="Arial"/>
          <w:sz w:val="24"/>
          <w:szCs w:val="24"/>
          <w:lang w:eastAsia="en-US"/>
        </w:rPr>
        <w:t>(basti pensare che dal 2009 al 2018 il numero di segnalazioni è quasi quintuplicato sia in regione che in Italia)</w:t>
      </w:r>
      <w:r w:rsidR="00285BB4">
        <w:rPr>
          <w:rFonts w:eastAsiaTheme="minorHAnsi" w:cs="Arial"/>
          <w:sz w:val="24"/>
          <w:szCs w:val="24"/>
          <w:lang w:eastAsia="en-US"/>
        </w:rPr>
        <w:t xml:space="preserve">. </w:t>
      </w:r>
    </w:p>
    <w:p w14:paraId="2C3759EE" w14:textId="4F28C470" w:rsidR="007742B5" w:rsidRDefault="00CE02D0" w:rsidP="007742B5">
      <w:pPr>
        <w:spacing w:line="276" w:lineRule="auto"/>
        <w:ind w:firstLine="0"/>
        <w:rPr>
          <w:rFonts w:eastAsiaTheme="minorHAnsi" w:cs="Arial"/>
          <w:sz w:val="24"/>
          <w:szCs w:val="24"/>
          <w:lang w:eastAsia="en-US"/>
        </w:rPr>
      </w:pPr>
      <w:r>
        <w:rPr>
          <w:rFonts w:eastAsiaTheme="minorHAnsi" w:cs="Arial"/>
          <w:sz w:val="24"/>
          <w:szCs w:val="24"/>
          <w:lang w:eastAsia="en-US"/>
        </w:rPr>
        <w:t xml:space="preserve">Un andamento simile </w:t>
      </w:r>
      <w:r w:rsidR="00BB0515">
        <w:rPr>
          <w:rFonts w:eastAsiaTheme="minorHAnsi" w:cs="Arial"/>
          <w:sz w:val="24"/>
          <w:szCs w:val="24"/>
          <w:lang w:eastAsia="en-US"/>
        </w:rPr>
        <w:t xml:space="preserve">del </w:t>
      </w:r>
      <w:r>
        <w:rPr>
          <w:rFonts w:eastAsiaTheme="minorHAnsi" w:cs="Arial"/>
          <w:sz w:val="24"/>
          <w:szCs w:val="24"/>
          <w:lang w:eastAsia="en-US"/>
        </w:rPr>
        <w:t xml:space="preserve">fenomeno, seppure con numeri </w:t>
      </w:r>
      <w:r w:rsidR="00BB0515">
        <w:rPr>
          <w:rFonts w:eastAsiaTheme="minorHAnsi" w:cs="Arial"/>
          <w:sz w:val="24"/>
          <w:szCs w:val="24"/>
          <w:lang w:eastAsia="en-US"/>
        </w:rPr>
        <w:t xml:space="preserve">sensibilmente </w:t>
      </w:r>
      <w:r>
        <w:rPr>
          <w:rFonts w:eastAsiaTheme="minorHAnsi" w:cs="Arial"/>
          <w:sz w:val="24"/>
          <w:szCs w:val="24"/>
          <w:lang w:eastAsia="en-US"/>
        </w:rPr>
        <w:t>inferiori rispetto alle segnalazioni</w:t>
      </w:r>
      <w:r w:rsidR="00BB0515">
        <w:rPr>
          <w:rFonts w:eastAsiaTheme="minorHAnsi" w:cs="Arial"/>
          <w:sz w:val="24"/>
          <w:szCs w:val="24"/>
          <w:lang w:eastAsia="en-US"/>
        </w:rPr>
        <w:t xml:space="preserve"> all’UIF</w:t>
      </w:r>
      <w:r>
        <w:rPr>
          <w:rFonts w:eastAsiaTheme="minorHAnsi" w:cs="Arial"/>
          <w:sz w:val="24"/>
          <w:szCs w:val="24"/>
          <w:lang w:eastAsia="en-US"/>
        </w:rPr>
        <w:t>, lo si riscontra</w:t>
      </w:r>
      <w:r w:rsidR="007742B5">
        <w:rPr>
          <w:rFonts w:eastAsiaTheme="minorHAnsi" w:cs="Arial"/>
          <w:sz w:val="24"/>
          <w:szCs w:val="24"/>
          <w:lang w:eastAsia="en-US"/>
        </w:rPr>
        <w:t xml:space="preserve"> </w:t>
      </w:r>
      <w:r>
        <w:rPr>
          <w:rFonts w:eastAsiaTheme="minorHAnsi" w:cs="Arial"/>
          <w:sz w:val="24"/>
          <w:szCs w:val="24"/>
          <w:lang w:eastAsia="en-US"/>
        </w:rPr>
        <w:t>nei dati delle denunce delle forze di polizia</w:t>
      </w:r>
      <w:r w:rsidR="00854445">
        <w:rPr>
          <w:rFonts w:eastAsiaTheme="minorHAnsi" w:cs="Arial"/>
          <w:sz w:val="24"/>
          <w:szCs w:val="24"/>
          <w:lang w:eastAsia="en-US"/>
        </w:rPr>
        <w:t xml:space="preserve"> (i dati della delittuosità)</w:t>
      </w:r>
      <w:r>
        <w:rPr>
          <w:rFonts w:eastAsiaTheme="minorHAnsi" w:cs="Arial"/>
          <w:sz w:val="24"/>
          <w:szCs w:val="24"/>
          <w:lang w:eastAsia="en-US"/>
        </w:rPr>
        <w:t>, secondo i quali</w:t>
      </w:r>
      <w:r w:rsidR="00BB0515">
        <w:rPr>
          <w:rFonts w:eastAsiaTheme="minorHAnsi" w:cs="Arial"/>
          <w:sz w:val="24"/>
          <w:szCs w:val="24"/>
          <w:lang w:eastAsia="en-US"/>
        </w:rPr>
        <w:t xml:space="preserve"> i reati di riciclaggio in regione </w:t>
      </w:r>
      <w:r w:rsidR="006879DB">
        <w:rPr>
          <w:rFonts w:eastAsiaTheme="minorHAnsi" w:cs="Arial"/>
          <w:sz w:val="24"/>
          <w:szCs w:val="24"/>
          <w:lang w:eastAsia="en-US"/>
        </w:rPr>
        <w:t xml:space="preserve">sono </w:t>
      </w:r>
      <w:r w:rsidR="00BB0515">
        <w:rPr>
          <w:rFonts w:eastAsiaTheme="minorHAnsi" w:cs="Arial"/>
          <w:sz w:val="24"/>
          <w:szCs w:val="24"/>
          <w:lang w:eastAsia="en-US"/>
        </w:rPr>
        <w:t xml:space="preserve">cresciuti costantemente negli ultimi dieci anni, passando dalle 95 denunce del 2009 alle 124 del 2018. Ciò detto, va </w:t>
      </w:r>
      <w:r w:rsidR="007742B5">
        <w:rPr>
          <w:rFonts w:eastAsiaTheme="minorHAnsi" w:cs="Arial"/>
          <w:sz w:val="24"/>
          <w:szCs w:val="24"/>
          <w:lang w:eastAsia="en-US"/>
        </w:rPr>
        <w:t xml:space="preserve">tuttavia </w:t>
      </w:r>
      <w:r w:rsidR="00BB0515">
        <w:rPr>
          <w:rFonts w:eastAsiaTheme="minorHAnsi" w:cs="Arial"/>
          <w:sz w:val="24"/>
          <w:szCs w:val="24"/>
          <w:lang w:eastAsia="en-US"/>
        </w:rPr>
        <w:t xml:space="preserve">rilevato che </w:t>
      </w:r>
      <w:r w:rsidR="007742B5">
        <w:rPr>
          <w:rFonts w:eastAsiaTheme="minorHAnsi" w:cs="Arial"/>
          <w:sz w:val="24"/>
          <w:szCs w:val="24"/>
          <w:lang w:eastAsia="en-US"/>
        </w:rPr>
        <w:t xml:space="preserve">nel decennio in esame </w:t>
      </w:r>
      <w:r w:rsidR="00BB0515">
        <w:rPr>
          <w:rFonts w:eastAsiaTheme="minorHAnsi" w:cs="Arial"/>
          <w:sz w:val="24"/>
          <w:szCs w:val="24"/>
          <w:lang w:eastAsia="en-US"/>
        </w:rPr>
        <w:t xml:space="preserve">la regione </w:t>
      </w:r>
      <w:r w:rsidR="007742B5">
        <w:rPr>
          <w:rFonts w:eastAsiaTheme="minorHAnsi" w:cs="Arial"/>
          <w:sz w:val="24"/>
          <w:szCs w:val="24"/>
          <w:lang w:eastAsia="en-US"/>
        </w:rPr>
        <w:t xml:space="preserve">ha detenuto </w:t>
      </w:r>
      <w:r w:rsidR="00BB0515">
        <w:rPr>
          <w:rFonts w:eastAsiaTheme="minorHAnsi" w:cs="Arial"/>
          <w:sz w:val="24"/>
          <w:szCs w:val="24"/>
          <w:lang w:eastAsia="en-US"/>
        </w:rPr>
        <w:t xml:space="preserve">costantemente tassi di reato di riciclaggio inferiori alla media nazionale. </w:t>
      </w:r>
      <w:r w:rsidR="007742B5">
        <w:rPr>
          <w:rFonts w:eastAsiaTheme="minorHAnsi" w:cs="Arial"/>
          <w:sz w:val="24"/>
          <w:szCs w:val="24"/>
          <w:lang w:eastAsia="en-US"/>
        </w:rPr>
        <w:t>Nell’ultimo anno (il 2018), ad esempio, la regione ha registrato un tasso di 2,8 denunce per riciclaggio ogni 100.000 abitanti a fronte di un tasso nazionale pari a 3,1 denunce ogni 100.000 abitanti. Naturalmente si</w:t>
      </w:r>
      <w:r w:rsidR="009B6866" w:rsidRPr="00646046">
        <w:rPr>
          <w:rFonts w:eastAsiaTheme="minorHAnsi" w:cs="Arial"/>
          <w:sz w:val="24"/>
          <w:szCs w:val="24"/>
          <w:lang w:eastAsia="en-US"/>
        </w:rPr>
        <w:t xml:space="preserve"> riscontrano differenze sostanziali fra le diverse province della regione. Modena</w:t>
      </w:r>
      <w:r w:rsidR="007742B5">
        <w:rPr>
          <w:rFonts w:eastAsiaTheme="minorHAnsi" w:cs="Arial"/>
          <w:sz w:val="24"/>
          <w:szCs w:val="24"/>
          <w:lang w:eastAsia="en-US"/>
        </w:rPr>
        <w:t xml:space="preserve"> soprattutto, ma anche Ravenna e Rimini sono i territori della regione dove l’incidenza di questo reato è maggiore quasi costantemente. Nell’ultimo anno, ad esempio, il tasso per il reato di riciclaggio di Modena è risultato di 7,4 ogni 100 mila abitanti e quello di Ravenna di 3,8 a fronte di un tasso medio regionale di 2,8 ogni 100 mila abitanti.</w:t>
      </w:r>
    </w:p>
    <w:p w14:paraId="22FA2EB3" w14:textId="6F6D8459" w:rsidR="00C30CB0" w:rsidRDefault="00C30CB0" w:rsidP="007742B5">
      <w:pPr>
        <w:spacing w:line="276" w:lineRule="auto"/>
        <w:ind w:firstLine="0"/>
        <w:rPr>
          <w:rFonts w:eastAsiaTheme="minorHAnsi" w:cs="Arial"/>
          <w:sz w:val="24"/>
          <w:szCs w:val="24"/>
          <w:lang w:eastAsia="en-US"/>
        </w:rPr>
      </w:pPr>
      <w:r>
        <w:rPr>
          <w:rFonts w:eastAsiaTheme="minorHAnsi" w:cs="Arial"/>
          <w:sz w:val="24"/>
          <w:szCs w:val="24"/>
          <w:lang w:eastAsia="en-US"/>
        </w:rPr>
        <w:t xml:space="preserve">Come è noto, i </w:t>
      </w:r>
      <w:r w:rsidRPr="00C30CB0">
        <w:rPr>
          <w:rFonts w:eastAsiaTheme="minorHAnsi" w:cs="Arial"/>
          <w:sz w:val="24"/>
          <w:szCs w:val="24"/>
          <w:lang w:eastAsia="en-US"/>
        </w:rPr>
        <w:t>capitali illeciti</w:t>
      </w:r>
      <w:r w:rsidR="00B56737">
        <w:rPr>
          <w:rFonts w:eastAsiaTheme="minorHAnsi" w:cs="Arial"/>
          <w:sz w:val="24"/>
          <w:szCs w:val="24"/>
          <w:lang w:eastAsia="en-US"/>
        </w:rPr>
        <w:t xml:space="preserve">, </w:t>
      </w:r>
      <w:r>
        <w:rPr>
          <w:rFonts w:eastAsiaTheme="minorHAnsi" w:cs="Arial"/>
          <w:sz w:val="24"/>
          <w:szCs w:val="24"/>
          <w:lang w:eastAsia="en-US"/>
        </w:rPr>
        <w:t>una volta ripuliti attraverso complesse operazioni finanziarie</w:t>
      </w:r>
      <w:r w:rsidR="00B56737">
        <w:rPr>
          <w:rFonts w:eastAsiaTheme="minorHAnsi" w:cs="Arial"/>
          <w:sz w:val="24"/>
          <w:szCs w:val="24"/>
          <w:lang w:eastAsia="en-US"/>
        </w:rPr>
        <w:t xml:space="preserve"> </w:t>
      </w:r>
      <w:r w:rsidR="004E5069">
        <w:rPr>
          <w:rFonts w:eastAsiaTheme="minorHAnsi" w:cs="Arial"/>
          <w:sz w:val="24"/>
          <w:szCs w:val="24"/>
          <w:lang w:eastAsia="en-US"/>
        </w:rPr>
        <w:t xml:space="preserve">realizzate </w:t>
      </w:r>
      <w:r w:rsidR="00B56737">
        <w:rPr>
          <w:rFonts w:eastAsiaTheme="minorHAnsi" w:cs="Arial"/>
          <w:sz w:val="24"/>
          <w:szCs w:val="24"/>
          <w:lang w:eastAsia="en-US"/>
        </w:rPr>
        <w:t xml:space="preserve">da professionisti </w:t>
      </w:r>
      <w:r w:rsidR="004E5069">
        <w:rPr>
          <w:rFonts w:eastAsiaTheme="minorHAnsi" w:cs="Arial"/>
          <w:sz w:val="24"/>
          <w:szCs w:val="24"/>
          <w:lang w:eastAsia="en-US"/>
        </w:rPr>
        <w:t xml:space="preserve">spesso </w:t>
      </w:r>
      <w:r w:rsidR="00B56737">
        <w:rPr>
          <w:rFonts w:eastAsiaTheme="minorHAnsi" w:cs="Arial"/>
          <w:sz w:val="24"/>
          <w:szCs w:val="24"/>
          <w:lang w:eastAsia="en-US"/>
        </w:rPr>
        <w:t xml:space="preserve">a servizio </w:t>
      </w:r>
      <w:r w:rsidR="00BB0FF5">
        <w:rPr>
          <w:rFonts w:eastAsiaTheme="minorHAnsi" w:cs="Arial"/>
          <w:sz w:val="24"/>
          <w:szCs w:val="24"/>
          <w:lang w:eastAsia="en-US"/>
        </w:rPr>
        <w:t xml:space="preserve">esterno </w:t>
      </w:r>
      <w:r w:rsidR="00B56737">
        <w:rPr>
          <w:rFonts w:eastAsiaTheme="minorHAnsi" w:cs="Arial"/>
          <w:sz w:val="24"/>
          <w:szCs w:val="24"/>
          <w:lang w:eastAsia="en-US"/>
        </w:rPr>
        <w:t>delle organizzazioni criminali</w:t>
      </w:r>
      <w:r w:rsidR="00BB0FF5">
        <w:rPr>
          <w:rFonts w:eastAsiaTheme="minorHAnsi" w:cs="Arial"/>
          <w:sz w:val="24"/>
          <w:szCs w:val="24"/>
          <w:lang w:eastAsia="en-US"/>
        </w:rPr>
        <w:t xml:space="preserve">, altre volte </w:t>
      </w:r>
      <w:r w:rsidR="004E5069">
        <w:rPr>
          <w:rFonts w:eastAsiaTheme="minorHAnsi" w:cs="Arial"/>
          <w:sz w:val="24"/>
          <w:szCs w:val="24"/>
          <w:lang w:eastAsia="en-US"/>
        </w:rPr>
        <w:t>strutturat</w:t>
      </w:r>
      <w:r w:rsidR="00BB0FF5">
        <w:rPr>
          <w:rFonts w:eastAsiaTheme="minorHAnsi" w:cs="Arial"/>
          <w:sz w:val="24"/>
          <w:szCs w:val="24"/>
          <w:lang w:eastAsia="en-US"/>
        </w:rPr>
        <w:t>i</w:t>
      </w:r>
      <w:r w:rsidR="004E5069">
        <w:rPr>
          <w:rFonts w:eastAsiaTheme="minorHAnsi" w:cs="Arial"/>
          <w:sz w:val="24"/>
          <w:szCs w:val="24"/>
          <w:lang w:eastAsia="en-US"/>
        </w:rPr>
        <w:t xml:space="preserve"> al loro interno</w:t>
      </w:r>
      <w:r w:rsidR="00B56737">
        <w:rPr>
          <w:rFonts w:eastAsiaTheme="minorHAnsi" w:cs="Arial"/>
          <w:sz w:val="24"/>
          <w:szCs w:val="24"/>
          <w:lang w:eastAsia="en-US"/>
        </w:rPr>
        <w:t xml:space="preserve">, sono immessi nell’economia legale e utilizzati per l’acquisto di attività economiche, immobili e, quando necessario, per corrompere pubblici funzionari o condizionare la politica. </w:t>
      </w:r>
    </w:p>
    <w:p w14:paraId="6D9FF362" w14:textId="6C7D22F2" w:rsidR="00677C34" w:rsidRDefault="00B56737" w:rsidP="007742B5">
      <w:pPr>
        <w:spacing w:line="276" w:lineRule="auto"/>
        <w:ind w:firstLine="0"/>
        <w:rPr>
          <w:rFonts w:eastAsiaTheme="minorHAnsi" w:cs="Arial"/>
          <w:sz w:val="24"/>
          <w:szCs w:val="24"/>
          <w:lang w:eastAsia="en-US"/>
        </w:rPr>
      </w:pPr>
      <w:r>
        <w:rPr>
          <w:rFonts w:eastAsiaTheme="minorHAnsi" w:cs="Arial"/>
          <w:sz w:val="24"/>
          <w:szCs w:val="24"/>
          <w:lang w:eastAsia="en-US"/>
        </w:rPr>
        <w:t xml:space="preserve">Quello della </w:t>
      </w:r>
      <w:r w:rsidRPr="00B56737">
        <w:rPr>
          <w:rFonts w:eastAsiaTheme="minorHAnsi" w:cs="Arial"/>
          <w:sz w:val="24"/>
          <w:szCs w:val="24"/>
          <w:lang w:eastAsia="en-US"/>
        </w:rPr>
        <w:t xml:space="preserve">corruzione è un fenomeno difficile da misurare </w:t>
      </w:r>
      <w:r>
        <w:rPr>
          <w:rFonts w:eastAsiaTheme="minorHAnsi" w:cs="Arial"/>
          <w:sz w:val="24"/>
          <w:szCs w:val="24"/>
          <w:lang w:eastAsia="en-US"/>
        </w:rPr>
        <w:t xml:space="preserve">non solo </w:t>
      </w:r>
      <w:r w:rsidR="00B11E22">
        <w:rPr>
          <w:rFonts w:eastAsiaTheme="minorHAnsi" w:cs="Arial"/>
          <w:sz w:val="24"/>
          <w:szCs w:val="24"/>
          <w:lang w:eastAsia="en-US"/>
        </w:rPr>
        <w:t xml:space="preserve">perché </w:t>
      </w:r>
      <w:r>
        <w:rPr>
          <w:rFonts w:eastAsiaTheme="minorHAnsi" w:cs="Arial"/>
          <w:sz w:val="24"/>
          <w:szCs w:val="24"/>
          <w:lang w:eastAsia="en-US"/>
        </w:rPr>
        <w:t xml:space="preserve">è </w:t>
      </w:r>
      <w:r w:rsidRPr="00B56737">
        <w:rPr>
          <w:rFonts w:eastAsiaTheme="minorHAnsi" w:cs="Arial"/>
          <w:sz w:val="24"/>
          <w:szCs w:val="24"/>
          <w:lang w:eastAsia="en-US"/>
        </w:rPr>
        <w:t xml:space="preserve">difficile </w:t>
      </w:r>
      <w:r>
        <w:rPr>
          <w:rFonts w:eastAsiaTheme="minorHAnsi" w:cs="Arial"/>
          <w:sz w:val="24"/>
          <w:szCs w:val="24"/>
          <w:lang w:eastAsia="en-US"/>
        </w:rPr>
        <w:t xml:space="preserve">definirne correttamente i contorni, ma </w:t>
      </w:r>
      <w:r w:rsidR="00B11E22">
        <w:rPr>
          <w:rFonts w:eastAsiaTheme="minorHAnsi" w:cs="Arial"/>
          <w:sz w:val="24"/>
          <w:szCs w:val="24"/>
          <w:lang w:eastAsia="en-US"/>
        </w:rPr>
        <w:t xml:space="preserve">perché </w:t>
      </w:r>
      <w:r>
        <w:rPr>
          <w:rFonts w:eastAsiaTheme="minorHAnsi" w:cs="Arial"/>
          <w:sz w:val="24"/>
          <w:szCs w:val="24"/>
          <w:lang w:eastAsia="en-US"/>
        </w:rPr>
        <w:t>presenta</w:t>
      </w:r>
      <w:r w:rsidR="00B11E22">
        <w:rPr>
          <w:rFonts w:eastAsiaTheme="minorHAnsi" w:cs="Arial"/>
          <w:sz w:val="24"/>
          <w:szCs w:val="24"/>
          <w:lang w:eastAsia="en-US"/>
        </w:rPr>
        <w:t xml:space="preserve"> anche</w:t>
      </w:r>
      <w:r>
        <w:rPr>
          <w:rFonts w:eastAsiaTheme="minorHAnsi" w:cs="Arial"/>
          <w:sz w:val="24"/>
          <w:szCs w:val="24"/>
          <w:lang w:eastAsia="en-US"/>
        </w:rPr>
        <w:t>, com</w:t>
      </w:r>
      <w:r w:rsidR="00B11E22">
        <w:rPr>
          <w:rFonts w:eastAsiaTheme="minorHAnsi" w:cs="Arial"/>
          <w:sz w:val="24"/>
          <w:szCs w:val="24"/>
          <w:lang w:eastAsia="en-US"/>
        </w:rPr>
        <w:t>e è ovvio</w:t>
      </w:r>
      <w:r>
        <w:rPr>
          <w:rFonts w:eastAsiaTheme="minorHAnsi" w:cs="Arial"/>
          <w:sz w:val="24"/>
          <w:szCs w:val="24"/>
          <w:lang w:eastAsia="en-US"/>
        </w:rPr>
        <w:t>, un elevat</w:t>
      </w:r>
      <w:r w:rsidR="00B11E22">
        <w:rPr>
          <w:rFonts w:eastAsiaTheme="minorHAnsi" w:cs="Arial"/>
          <w:sz w:val="24"/>
          <w:szCs w:val="24"/>
          <w:lang w:eastAsia="en-US"/>
        </w:rPr>
        <w:t>issimo</w:t>
      </w:r>
      <w:r>
        <w:rPr>
          <w:rFonts w:eastAsiaTheme="minorHAnsi" w:cs="Arial"/>
          <w:sz w:val="24"/>
          <w:szCs w:val="24"/>
          <w:lang w:eastAsia="en-US"/>
        </w:rPr>
        <w:t xml:space="preserve"> sommerso. Tuttavia, se ci si limita a osservare </w:t>
      </w:r>
      <w:r w:rsidR="00677C34">
        <w:rPr>
          <w:rFonts w:eastAsiaTheme="minorHAnsi" w:cs="Arial"/>
          <w:sz w:val="24"/>
          <w:szCs w:val="24"/>
          <w:lang w:eastAsia="en-US"/>
        </w:rPr>
        <w:t xml:space="preserve">i </w:t>
      </w:r>
      <w:r>
        <w:rPr>
          <w:rFonts w:eastAsiaTheme="minorHAnsi" w:cs="Arial"/>
          <w:sz w:val="24"/>
          <w:szCs w:val="24"/>
          <w:lang w:eastAsia="en-US"/>
        </w:rPr>
        <w:t xml:space="preserve">delitti </w:t>
      </w:r>
      <w:r w:rsidR="00677C34">
        <w:rPr>
          <w:rFonts w:eastAsiaTheme="minorHAnsi" w:cs="Arial"/>
          <w:sz w:val="24"/>
          <w:szCs w:val="24"/>
          <w:lang w:eastAsia="en-US"/>
        </w:rPr>
        <w:t xml:space="preserve">commessi </w:t>
      </w:r>
      <w:r w:rsidR="00B11E22">
        <w:rPr>
          <w:rFonts w:eastAsiaTheme="minorHAnsi" w:cs="Arial"/>
          <w:sz w:val="24"/>
          <w:szCs w:val="24"/>
          <w:lang w:eastAsia="en-US"/>
        </w:rPr>
        <w:t xml:space="preserve">negli ultimi anni </w:t>
      </w:r>
      <w:r w:rsidR="00677C34">
        <w:rPr>
          <w:rFonts w:eastAsiaTheme="minorHAnsi" w:cs="Arial"/>
          <w:sz w:val="24"/>
          <w:szCs w:val="24"/>
          <w:lang w:eastAsia="en-US"/>
        </w:rPr>
        <w:t xml:space="preserve">in Emilia-Romagna da </w:t>
      </w:r>
      <w:r w:rsidRPr="006879DB">
        <w:rPr>
          <w:rFonts w:eastAsiaTheme="minorHAnsi" w:cs="Arial"/>
          <w:sz w:val="24"/>
          <w:szCs w:val="24"/>
          <w:lang w:eastAsia="en-US"/>
        </w:rPr>
        <w:t>pubblici ufficiali contro la pubblica amministrazione</w:t>
      </w:r>
      <w:r w:rsidR="00677C34">
        <w:rPr>
          <w:rFonts w:eastAsiaTheme="minorHAnsi" w:cs="Arial"/>
          <w:sz w:val="24"/>
          <w:szCs w:val="24"/>
          <w:lang w:eastAsia="en-US"/>
        </w:rPr>
        <w:t>,</w:t>
      </w:r>
      <w:r w:rsidR="00B11E22">
        <w:rPr>
          <w:rFonts w:eastAsiaTheme="minorHAnsi" w:cs="Arial"/>
          <w:sz w:val="24"/>
          <w:szCs w:val="24"/>
          <w:lang w:eastAsia="en-US"/>
        </w:rPr>
        <w:t xml:space="preserve"> anche in questo caso </w:t>
      </w:r>
      <w:r w:rsidR="00677C34">
        <w:rPr>
          <w:rFonts w:eastAsiaTheme="minorHAnsi" w:cs="Arial"/>
          <w:sz w:val="24"/>
          <w:szCs w:val="24"/>
          <w:lang w:eastAsia="en-US"/>
        </w:rPr>
        <w:t xml:space="preserve">si </w:t>
      </w:r>
      <w:r w:rsidR="00B11E22">
        <w:rPr>
          <w:rFonts w:eastAsiaTheme="minorHAnsi" w:cs="Arial"/>
          <w:sz w:val="24"/>
          <w:szCs w:val="24"/>
          <w:lang w:eastAsia="en-US"/>
        </w:rPr>
        <w:t xml:space="preserve">può notare </w:t>
      </w:r>
      <w:r w:rsidR="00677C34">
        <w:rPr>
          <w:rFonts w:eastAsiaTheme="minorHAnsi" w:cs="Arial"/>
          <w:sz w:val="24"/>
          <w:szCs w:val="24"/>
          <w:lang w:eastAsia="en-US"/>
        </w:rPr>
        <w:t>una crescita</w:t>
      </w:r>
      <w:r w:rsidR="00B11E22">
        <w:rPr>
          <w:rFonts w:eastAsiaTheme="minorHAnsi" w:cs="Arial"/>
          <w:sz w:val="24"/>
          <w:szCs w:val="24"/>
          <w:lang w:eastAsia="en-US"/>
        </w:rPr>
        <w:t xml:space="preserve"> non trascurabile</w:t>
      </w:r>
      <w:r w:rsidR="004E5069">
        <w:rPr>
          <w:rFonts w:eastAsiaTheme="minorHAnsi" w:cs="Arial"/>
          <w:sz w:val="24"/>
          <w:szCs w:val="24"/>
          <w:lang w:eastAsia="en-US"/>
        </w:rPr>
        <w:t xml:space="preserve"> del fenomeno</w:t>
      </w:r>
      <w:r w:rsidR="00677C34">
        <w:rPr>
          <w:rFonts w:eastAsiaTheme="minorHAnsi" w:cs="Arial"/>
          <w:sz w:val="24"/>
          <w:szCs w:val="24"/>
          <w:lang w:eastAsia="en-US"/>
        </w:rPr>
        <w:t xml:space="preserve">. In particolare, dal 2011 al 2017 (che è l’ultimo anno per cui si dispone </w:t>
      </w:r>
      <w:r w:rsidR="00B11E22">
        <w:rPr>
          <w:rFonts w:eastAsiaTheme="minorHAnsi" w:cs="Arial"/>
          <w:sz w:val="24"/>
          <w:szCs w:val="24"/>
          <w:lang w:eastAsia="en-US"/>
        </w:rPr>
        <w:t>dei dati dell’Autorità giudiziaria</w:t>
      </w:r>
      <w:r w:rsidR="00677C34">
        <w:rPr>
          <w:rFonts w:eastAsiaTheme="minorHAnsi" w:cs="Arial"/>
          <w:sz w:val="24"/>
          <w:szCs w:val="24"/>
          <w:lang w:eastAsia="en-US"/>
        </w:rPr>
        <w:t xml:space="preserve">), i procedimenti </w:t>
      </w:r>
      <w:r w:rsidR="00B11E22">
        <w:rPr>
          <w:rFonts w:eastAsiaTheme="minorHAnsi" w:cs="Arial"/>
          <w:sz w:val="24"/>
          <w:szCs w:val="24"/>
          <w:lang w:eastAsia="en-US"/>
        </w:rPr>
        <w:t xml:space="preserve">per i reati di questo </w:t>
      </w:r>
      <w:r w:rsidR="00677C34">
        <w:rPr>
          <w:rFonts w:eastAsiaTheme="minorHAnsi" w:cs="Arial"/>
          <w:sz w:val="24"/>
          <w:szCs w:val="24"/>
          <w:lang w:eastAsia="en-US"/>
        </w:rPr>
        <w:t xml:space="preserve">tipo per i quali l’Autorità giudiziaria ha iniziato l’azione penale sono stati 2.317 (il 5% di quelli definiti in tutti i distretti giudiziari del paese). Va </w:t>
      </w:r>
      <w:r w:rsidR="00B11E22">
        <w:rPr>
          <w:rFonts w:eastAsiaTheme="minorHAnsi" w:cs="Arial"/>
          <w:sz w:val="24"/>
          <w:szCs w:val="24"/>
          <w:lang w:eastAsia="en-US"/>
        </w:rPr>
        <w:t xml:space="preserve">precisato </w:t>
      </w:r>
      <w:r w:rsidR="00677C34">
        <w:rPr>
          <w:rFonts w:eastAsiaTheme="minorHAnsi" w:cs="Arial"/>
          <w:sz w:val="24"/>
          <w:szCs w:val="24"/>
          <w:lang w:eastAsia="en-US"/>
        </w:rPr>
        <w:t xml:space="preserve">che per </w:t>
      </w:r>
      <w:r w:rsidR="00B11E22">
        <w:rPr>
          <w:rFonts w:eastAsiaTheme="minorHAnsi" w:cs="Arial"/>
          <w:sz w:val="24"/>
          <w:szCs w:val="24"/>
          <w:lang w:eastAsia="en-US"/>
        </w:rPr>
        <w:t xml:space="preserve">quasi il 70% di questi </w:t>
      </w:r>
      <w:r w:rsidR="00677C34">
        <w:rPr>
          <w:rFonts w:eastAsiaTheme="minorHAnsi" w:cs="Arial"/>
          <w:sz w:val="24"/>
          <w:szCs w:val="24"/>
          <w:lang w:eastAsia="en-US"/>
        </w:rPr>
        <w:t xml:space="preserve">procedimenti </w:t>
      </w:r>
      <w:r w:rsidR="007001E7">
        <w:rPr>
          <w:rFonts w:eastAsiaTheme="minorHAnsi" w:cs="Arial"/>
          <w:sz w:val="24"/>
          <w:szCs w:val="24"/>
          <w:lang w:eastAsia="en-US"/>
        </w:rPr>
        <w:t>si è trattato di v</w:t>
      </w:r>
      <w:r w:rsidR="00677C34" w:rsidRPr="00677C34">
        <w:rPr>
          <w:rFonts w:eastAsiaTheme="minorHAnsi" w:cs="Arial"/>
          <w:sz w:val="24"/>
          <w:szCs w:val="24"/>
          <w:lang w:eastAsia="en-US"/>
        </w:rPr>
        <w:t>iolazion</w:t>
      </w:r>
      <w:r w:rsidR="007001E7">
        <w:rPr>
          <w:rFonts w:eastAsiaTheme="minorHAnsi" w:cs="Arial"/>
          <w:sz w:val="24"/>
          <w:szCs w:val="24"/>
          <w:lang w:eastAsia="en-US"/>
        </w:rPr>
        <w:t>i</w:t>
      </w:r>
      <w:r w:rsidR="00677C34" w:rsidRPr="00677C34">
        <w:rPr>
          <w:rFonts w:eastAsiaTheme="minorHAnsi" w:cs="Arial"/>
          <w:sz w:val="24"/>
          <w:szCs w:val="24"/>
          <w:lang w:eastAsia="en-US"/>
        </w:rPr>
        <w:t xml:space="preserve"> dei doveri d'ufficio e abusi</w:t>
      </w:r>
      <w:r w:rsidR="007001E7">
        <w:rPr>
          <w:rFonts w:eastAsiaTheme="minorHAnsi" w:cs="Arial"/>
          <w:sz w:val="24"/>
          <w:szCs w:val="24"/>
          <w:lang w:eastAsia="en-US"/>
        </w:rPr>
        <w:t xml:space="preserve">, mentre la restante parte </w:t>
      </w:r>
      <w:r w:rsidR="00B11E22">
        <w:rPr>
          <w:rFonts w:eastAsiaTheme="minorHAnsi" w:cs="Arial"/>
          <w:sz w:val="24"/>
          <w:szCs w:val="24"/>
          <w:lang w:eastAsia="en-US"/>
        </w:rPr>
        <w:t xml:space="preserve">riguardava reati più strettamente collegati ai fenomeni corruttivi. In particolare, nel settennio in esame </w:t>
      </w:r>
      <w:r w:rsidR="004E5069">
        <w:rPr>
          <w:rFonts w:eastAsiaTheme="minorHAnsi" w:cs="Arial"/>
          <w:sz w:val="24"/>
          <w:szCs w:val="24"/>
          <w:lang w:eastAsia="en-US"/>
        </w:rPr>
        <w:t xml:space="preserve">l’Autorità giudiziaria ha iniziato l’azione penale per </w:t>
      </w:r>
      <w:r w:rsidR="00B11E22">
        <w:rPr>
          <w:rFonts w:eastAsiaTheme="minorHAnsi" w:cs="Arial"/>
          <w:sz w:val="24"/>
          <w:szCs w:val="24"/>
          <w:lang w:eastAsia="en-US"/>
        </w:rPr>
        <w:t xml:space="preserve">341 procedimenti </w:t>
      </w:r>
      <w:r w:rsidR="004E5069">
        <w:rPr>
          <w:rFonts w:eastAsiaTheme="minorHAnsi" w:cs="Arial"/>
          <w:sz w:val="24"/>
          <w:szCs w:val="24"/>
          <w:lang w:eastAsia="en-US"/>
        </w:rPr>
        <w:t xml:space="preserve">riguardanti </w:t>
      </w:r>
      <w:r w:rsidR="00B11E22">
        <w:rPr>
          <w:rFonts w:eastAsiaTheme="minorHAnsi" w:cs="Arial"/>
          <w:sz w:val="24"/>
          <w:szCs w:val="24"/>
          <w:lang w:eastAsia="en-US"/>
        </w:rPr>
        <w:t xml:space="preserve">delitti di peculato, 237 di malversazione, 66 </w:t>
      </w:r>
      <w:r w:rsidR="004E5069">
        <w:rPr>
          <w:rFonts w:eastAsiaTheme="minorHAnsi" w:cs="Arial"/>
          <w:sz w:val="24"/>
          <w:szCs w:val="24"/>
          <w:lang w:eastAsia="en-US"/>
        </w:rPr>
        <w:t xml:space="preserve">di </w:t>
      </w:r>
      <w:r w:rsidR="00B11E22">
        <w:rPr>
          <w:rFonts w:eastAsiaTheme="minorHAnsi" w:cs="Arial"/>
          <w:sz w:val="24"/>
          <w:szCs w:val="24"/>
          <w:lang w:eastAsia="en-US"/>
        </w:rPr>
        <w:t>concussione e 154 di corruzione vera e propria.</w:t>
      </w:r>
    </w:p>
    <w:p w14:paraId="17B2828C" w14:textId="1934D245" w:rsidR="00BB0FF5" w:rsidRDefault="00BB0FF5" w:rsidP="007742B5">
      <w:pPr>
        <w:spacing w:line="276" w:lineRule="auto"/>
        <w:ind w:firstLine="0"/>
        <w:rPr>
          <w:rFonts w:eastAsiaTheme="minorHAnsi" w:cs="Arial"/>
          <w:sz w:val="24"/>
          <w:szCs w:val="24"/>
          <w:lang w:eastAsia="en-US"/>
        </w:rPr>
      </w:pPr>
      <w:r>
        <w:rPr>
          <w:rFonts w:eastAsiaTheme="minorHAnsi" w:cs="Arial"/>
          <w:sz w:val="24"/>
          <w:szCs w:val="24"/>
          <w:lang w:eastAsia="en-US"/>
        </w:rPr>
        <w:t xml:space="preserve">Non trascurabile, infine, è il numero di soggetti </w:t>
      </w:r>
      <w:r w:rsidR="00274B5D">
        <w:rPr>
          <w:rFonts w:eastAsiaTheme="minorHAnsi" w:cs="Arial"/>
          <w:sz w:val="24"/>
          <w:szCs w:val="24"/>
          <w:lang w:eastAsia="en-US"/>
        </w:rPr>
        <w:t xml:space="preserve">condannati con sentenza irrevocabile per avere commesso tali reati. In particolare, 949 sono i pubblici ufficiali che dal 2011 al 2017 sono stati condannati per avere commesso delitti contro la pubblica amministrazione, di cui 159 per peculato, 16 per malversazione, 54 per concussione e 93 per corruzione. </w:t>
      </w:r>
    </w:p>
    <w:p w14:paraId="051FFACC" w14:textId="681ACA0B" w:rsidR="00677C34" w:rsidRDefault="00677C34" w:rsidP="007742B5">
      <w:pPr>
        <w:spacing w:line="276" w:lineRule="auto"/>
        <w:ind w:firstLine="0"/>
        <w:rPr>
          <w:rFonts w:eastAsiaTheme="minorHAnsi" w:cs="Arial"/>
          <w:sz w:val="24"/>
          <w:szCs w:val="24"/>
          <w:lang w:eastAsia="en-US"/>
        </w:rPr>
      </w:pPr>
    </w:p>
    <w:p w14:paraId="66C6069F" w14:textId="55F900EA" w:rsidR="004E5069" w:rsidRDefault="004E5069" w:rsidP="007742B5">
      <w:pPr>
        <w:spacing w:line="276" w:lineRule="auto"/>
        <w:ind w:firstLine="0"/>
        <w:rPr>
          <w:rFonts w:eastAsiaTheme="minorHAnsi" w:cs="Arial"/>
          <w:sz w:val="24"/>
          <w:szCs w:val="24"/>
          <w:lang w:eastAsia="en-US"/>
        </w:rPr>
      </w:pPr>
    </w:p>
    <w:p w14:paraId="4CA4F436" w14:textId="6F39A856" w:rsidR="004E5069" w:rsidRDefault="004E5069" w:rsidP="007742B5">
      <w:pPr>
        <w:spacing w:line="276" w:lineRule="auto"/>
        <w:ind w:firstLine="0"/>
        <w:rPr>
          <w:rFonts w:eastAsiaTheme="minorHAnsi" w:cs="Arial"/>
          <w:sz w:val="24"/>
          <w:szCs w:val="24"/>
          <w:lang w:eastAsia="en-US"/>
        </w:rPr>
      </w:pPr>
    </w:p>
    <w:p w14:paraId="322F3F57" w14:textId="53E6AA05" w:rsidR="006879DB" w:rsidRDefault="004E5069" w:rsidP="007742B5">
      <w:pPr>
        <w:spacing w:line="276" w:lineRule="auto"/>
        <w:ind w:firstLine="0"/>
        <w:rPr>
          <w:rFonts w:eastAsiaTheme="minorHAnsi" w:cs="Arial"/>
          <w:b/>
          <w:bCs/>
          <w:lang w:eastAsia="en-US"/>
        </w:rPr>
      </w:pPr>
      <w:r w:rsidRPr="004E5069">
        <w:rPr>
          <w:rFonts w:eastAsiaTheme="minorHAnsi" w:cs="Arial"/>
          <w:b/>
          <w:bCs/>
          <w:lang w:eastAsia="en-US"/>
        </w:rPr>
        <w:lastRenderedPageBreak/>
        <w:t xml:space="preserve">Procedimenti penali per i quali l’Autorità giudiziaria ha iniziato l’azione penale </w:t>
      </w:r>
      <w:r w:rsidR="00274B5D">
        <w:rPr>
          <w:rFonts w:eastAsiaTheme="minorHAnsi" w:cs="Arial"/>
          <w:b/>
          <w:bCs/>
          <w:lang w:eastAsia="en-US"/>
        </w:rPr>
        <w:t xml:space="preserve">e condannati con sentenza irrevocabile dal </w:t>
      </w:r>
      <w:r w:rsidRPr="004E5069">
        <w:rPr>
          <w:rFonts w:eastAsiaTheme="minorHAnsi" w:cs="Arial"/>
          <w:b/>
          <w:bCs/>
          <w:lang w:eastAsia="en-US"/>
        </w:rPr>
        <w:t xml:space="preserve">2011 al 2017 in Emilia-Romagna </w:t>
      </w:r>
      <w:r w:rsidR="00274B5D">
        <w:rPr>
          <w:rFonts w:eastAsiaTheme="minorHAnsi" w:cs="Arial"/>
          <w:b/>
          <w:bCs/>
          <w:lang w:eastAsia="en-US"/>
        </w:rPr>
        <w:t xml:space="preserve">per delitti dei pubblici ufficiali contro la pubblica amministrazione </w:t>
      </w:r>
      <w:r w:rsidRPr="004E5069">
        <w:rPr>
          <w:rFonts w:eastAsiaTheme="minorHAnsi" w:cs="Arial"/>
          <w:b/>
          <w:bCs/>
          <w:lang w:eastAsia="en-US"/>
        </w:rPr>
        <w:t>(valori assoluti)</w:t>
      </w:r>
    </w:p>
    <w:tbl>
      <w:tblPr>
        <w:tblW w:w="9680" w:type="dxa"/>
        <w:tblCellMar>
          <w:left w:w="70" w:type="dxa"/>
          <w:right w:w="70" w:type="dxa"/>
        </w:tblCellMar>
        <w:tblLook w:val="04A0" w:firstRow="1" w:lastRow="0" w:firstColumn="1" w:lastColumn="0" w:noHBand="0" w:noVBand="1"/>
      </w:tblPr>
      <w:tblGrid>
        <w:gridCol w:w="4880"/>
        <w:gridCol w:w="600"/>
        <w:gridCol w:w="600"/>
        <w:gridCol w:w="600"/>
        <w:gridCol w:w="600"/>
        <w:gridCol w:w="600"/>
        <w:gridCol w:w="600"/>
        <w:gridCol w:w="600"/>
        <w:gridCol w:w="600"/>
      </w:tblGrid>
      <w:tr w:rsidR="00274B5D" w:rsidRPr="00274B5D" w14:paraId="7B746360" w14:textId="77777777" w:rsidTr="00274B5D">
        <w:trPr>
          <w:trHeight w:val="225"/>
        </w:trPr>
        <w:tc>
          <w:tcPr>
            <w:tcW w:w="4880" w:type="dxa"/>
            <w:tcBorders>
              <w:top w:val="single" w:sz="4" w:space="0" w:color="auto"/>
              <w:left w:val="nil"/>
              <w:bottom w:val="single" w:sz="4" w:space="0" w:color="auto"/>
              <w:right w:val="nil"/>
            </w:tcBorders>
            <w:shd w:val="clear" w:color="auto" w:fill="auto"/>
            <w:noWrap/>
            <w:vAlign w:val="bottom"/>
            <w:hideMark/>
          </w:tcPr>
          <w:p w14:paraId="021EBBA7" w14:textId="77777777" w:rsidR="00274B5D" w:rsidRPr="00274B5D" w:rsidRDefault="00274B5D" w:rsidP="00274B5D">
            <w:pPr>
              <w:spacing w:line="240" w:lineRule="auto"/>
              <w:ind w:firstLine="0"/>
              <w:jc w:val="left"/>
              <w:rPr>
                <w:rFonts w:cs="Arial"/>
                <w:sz w:val="16"/>
                <w:szCs w:val="16"/>
              </w:rPr>
            </w:pPr>
            <w:r w:rsidRPr="00274B5D">
              <w:rPr>
                <w:rFonts w:cs="Arial"/>
                <w:sz w:val="16"/>
                <w:szCs w:val="16"/>
              </w:rPr>
              <w:t> </w:t>
            </w:r>
          </w:p>
        </w:tc>
        <w:tc>
          <w:tcPr>
            <w:tcW w:w="600" w:type="dxa"/>
            <w:tcBorders>
              <w:top w:val="single" w:sz="4" w:space="0" w:color="auto"/>
              <w:left w:val="nil"/>
              <w:bottom w:val="single" w:sz="4" w:space="0" w:color="auto"/>
              <w:right w:val="nil"/>
            </w:tcBorders>
            <w:shd w:val="clear" w:color="auto" w:fill="auto"/>
            <w:noWrap/>
            <w:vAlign w:val="bottom"/>
            <w:hideMark/>
          </w:tcPr>
          <w:p w14:paraId="7011A98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2011</w:t>
            </w:r>
          </w:p>
        </w:tc>
        <w:tc>
          <w:tcPr>
            <w:tcW w:w="600" w:type="dxa"/>
            <w:tcBorders>
              <w:top w:val="single" w:sz="4" w:space="0" w:color="auto"/>
              <w:left w:val="nil"/>
              <w:bottom w:val="single" w:sz="4" w:space="0" w:color="auto"/>
              <w:right w:val="nil"/>
            </w:tcBorders>
            <w:shd w:val="clear" w:color="auto" w:fill="auto"/>
            <w:noWrap/>
            <w:vAlign w:val="bottom"/>
            <w:hideMark/>
          </w:tcPr>
          <w:p w14:paraId="70A1217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2012</w:t>
            </w:r>
          </w:p>
        </w:tc>
        <w:tc>
          <w:tcPr>
            <w:tcW w:w="600" w:type="dxa"/>
            <w:tcBorders>
              <w:top w:val="single" w:sz="4" w:space="0" w:color="auto"/>
              <w:left w:val="nil"/>
              <w:bottom w:val="single" w:sz="4" w:space="0" w:color="auto"/>
              <w:right w:val="nil"/>
            </w:tcBorders>
            <w:shd w:val="clear" w:color="auto" w:fill="auto"/>
            <w:noWrap/>
            <w:vAlign w:val="bottom"/>
            <w:hideMark/>
          </w:tcPr>
          <w:p w14:paraId="708DD46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2013</w:t>
            </w:r>
          </w:p>
        </w:tc>
        <w:tc>
          <w:tcPr>
            <w:tcW w:w="600" w:type="dxa"/>
            <w:tcBorders>
              <w:top w:val="single" w:sz="4" w:space="0" w:color="auto"/>
              <w:left w:val="nil"/>
              <w:bottom w:val="single" w:sz="4" w:space="0" w:color="auto"/>
              <w:right w:val="nil"/>
            </w:tcBorders>
            <w:shd w:val="clear" w:color="auto" w:fill="auto"/>
            <w:noWrap/>
            <w:vAlign w:val="bottom"/>
            <w:hideMark/>
          </w:tcPr>
          <w:p w14:paraId="0C197AB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2014</w:t>
            </w:r>
          </w:p>
        </w:tc>
        <w:tc>
          <w:tcPr>
            <w:tcW w:w="600" w:type="dxa"/>
            <w:tcBorders>
              <w:top w:val="single" w:sz="4" w:space="0" w:color="auto"/>
              <w:left w:val="nil"/>
              <w:bottom w:val="single" w:sz="4" w:space="0" w:color="auto"/>
              <w:right w:val="nil"/>
            </w:tcBorders>
            <w:shd w:val="clear" w:color="auto" w:fill="auto"/>
            <w:noWrap/>
            <w:vAlign w:val="bottom"/>
            <w:hideMark/>
          </w:tcPr>
          <w:p w14:paraId="48855A2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2015</w:t>
            </w:r>
          </w:p>
        </w:tc>
        <w:tc>
          <w:tcPr>
            <w:tcW w:w="600" w:type="dxa"/>
            <w:tcBorders>
              <w:top w:val="single" w:sz="4" w:space="0" w:color="auto"/>
              <w:left w:val="nil"/>
              <w:bottom w:val="single" w:sz="4" w:space="0" w:color="auto"/>
              <w:right w:val="nil"/>
            </w:tcBorders>
            <w:shd w:val="clear" w:color="auto" w:fill="auto"/>
            <w:noWrap/>
            <w:vAlign w:val="bottom"/>
            <w:hideMark/>
          </w:tcPr>
          <w:p w14:paraId="3EDF7ECD"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2016</w:t>
            </w:r>
          </w:p>
        </w:tc>
        <w:tc>
          <w:tcPr>
            <w:tcW w:w="600" w:type="dxa"/>
            <w:tcBorders>
              <w:top w:val="single" w:sz="4" w:space="0" w:color="auto"/>
              <w:left w:val="nil"/>
              <w:bottom w:val="single" w:sz="4" w:space="0" w:color="auto"/>
              <w:right w:val="nil"/>
            </w:tcBorders>
            <w:shd w:val="clear" w:color="auto" w:fill="auto"/>
            <w:noWrap/>
            <w:vAlign w:val="bottom"/>
            <w:hideMark/>
          </w:tcPr>
          <w:p w14:paraId="1F105E0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2017</w:t>
            </w:r>
          </w:p>
        </w:tc>
        <w:tc>
          <w:tcPr>
            <w:tcW w:w="600" w:type="dxa"/>
            <w:tcBorders>
              <w:top w:val="single" w:sz="4" w:space="0" w:color="auto"/>
              <w:left w:val="nil"/>
              <w:bottom w:val="single" w:sz="4" w:space="0" w:color="auto"/>
              <w:right w:val="nil"/>
            </w:tcBorders>
            <w:shd w:val="clear" w:color="auto" w:fill="auto"/>
            <w:noWrap/>
            <w:vAlign w:val="bottom"/>
            <w:hideMark/>
          </w:tcPr>
          <w:p w14:paraId="51F33CE8"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Totale</w:t>
            </w:r>
          </w:p>
        </w:tc>
      </w:tr>
      <w:tr w:rsidR="00274B5D" w:rsidRPr="00274B5D" w14:paraId="2BE4F6A6" w14:textId="77777777" w:rsidTr="00274B5D">
        <w:trPr>
          <w:trHeight w:val="225"/>
        </w:trPr>
        <w:tc>
          <w:tcPr>
            <w:tcW w:w="4880" w:type="dxa"/>
            <w:tcBorders>
              <w:top w:val="nil"/>
              <w:left w:val="nil"/>
              <w:bottom w:val="nil"/>
              <w:right w:val="nil"/>
            </w:tcBorders>
            <w:shd w:val="clear" w:color="auto" w:fill="auto"/>
            <w:noWrap/>
            <w:vAlign w:val="bottom"/>
            <w:hideMark/>
          </w:tcPr>
          <w:p w14:paraId="3B154493" w14:textId="77777777" w:rsidR="00274B5D" w:rsidRPr="00274B5D" w:rsidRDefault="00274B5D" w:rsidP="00274B5D">
            <w:pPr>
              <w:spacing w:line="240" w:lineRule="auto"/>
              <w:ind w:firstLine="0"/>
              <w:jc w:val="left"/>
              <w:rPr>
                <w:rFonts w:cs="Arial"/>
                <w:b/>
                <w:bCs/>
                <w:sz w:val="16"/>
                <w:szCs w:val="16"/>
              </w:rPr>
            </w:pPr>
            <w:r w:rsidRPr="00274B5D">
              <w:rPr>
                <w:rFonts w:cs="Arial"/>
                <w:b/>
                <w:bCs/>
                <w:sz w:val="16"/>
                <w:szCs w:val="16"/>
              </w:rPr>
              <w:t xml:space="preserve">PROCEDIMENTI PENALI </w:t>
            </w:r>
          </w:p>
        </w:tc>
        <w:tc>
          <w:tcPr>
            <w:tcW w:w="600" w:type="dxa"/>
            <w:tcBorders>
              <w:top w:val="nil"/>
              <w:left w:val="nil"/>
              <w:bottom w:val="nil"/>
              <w:right w:val="nil"/>
            </w:tcBorders>
            <w:shd w:val="clear" w:color="auto" w:fill="auto"/>
            <w:noWrap/>
            <w:vAlign w:val="bottom"/>
            <w:hideMark/>
          </w:tcPr>
          <w:p w14:paraId="39F4880E" w14:textId="77777777" w:rsidR="00274B5D" w:rsidRPr="00274B5D" w:rsidRDefault="00274B5D" w:rsidP="00274B5D">
            <w:pPr>
              <w:spacing w:line="240" w:lineRule="auto"/>
              <w:ind w:firstLine="0"/>
              <w:jc w:val="left"/>
              <w:rPr>
                <w:rFonts w:cs="Arial"/>
                <w:b/>
                <w:bCs/>
                <w:sz w:val="16"/>
                <w:szCs w:val="16"/>
              </w:rPr>
            </w:pPr>
          </w:p>
        </w:tc>
        <w:tc>
          <w:tcPr>
            <w:tcW w:w="600" w:type="dxa"/>
            <w:tcBorders>
              <w:top w:val="nil"/>
              <w:left w:val="nil"/>
              <w:bottom w:val="nil"/>
              <w:right w:val="nil"/>
            </w:tcBorders>
            <w:shd w:val="clear" w:color="auto" w:fill="auto"/>
            <w:noWrap/>
            <w:vAlign w:val="bottom"/>
            <w:hideMark/>
          </w:tcPr>
          <w:p w14:paraId="751453F4"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27E5B3CC"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322F7233"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13CE73E"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788011C2"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4363051"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0DE8828C" w14:textId="77777777" w:rsidR="00274B5D" w:rsidRPr="00274B5D" w:rsidRDefault="00274B5D" w:rsidP="00274B5D">
            <w:pPr>
              <w:spacing w:line="240" w:lineRule="auto"/>
              <w:ind w:firstLine="0"/>
              <w:jc w:val="right"/>
              <w:rPr>
                <w:rFonts w:ascii="Times New Roman" w:hAnsi="Times New Roman"/>
              </w:rPr>
            </w:pPr>
          </w:p>
        </w:tc>
      </w:tr>
      <w:tr w:rsidR="00274B5D" w:rsidRPr="00274B5D" w14:paraId="55E1BC98" w14:textId="77777777" w:rsidTr="00274B5D">
        <w:trPr>
          <w:trHeight w:val="225"/>
        </w:trPr>
        <w:tc>
          <w:tcPr>
            <w:tcW w:w="4880" w:type="dxa"/>
            <w:tcBorders>
              <w:top w:val="nil"/>
              <w:left w:val="nil"/>
              <w:bottom w:val="nil"/>
              <w:right w:val="nil"/>
            </w:tcBorders>
            <w:shd w:val="clear" w:color="auto" w:fill="auto"/>
            <w:noWrap/>
            <w:vAlign w:val="bottom"/>
            <w:hideMark/>
          </w:tcPr>
          <w:p w14:paraId="09D70437" w14:textId="77777777" w:rsidR="00274B5D" w:rsidRPr="00274B5D" w:rsidRDefault="00274B5D" w:rsidP="00274B5D">
            <w:pPr>
              <w:spacing w:line="240" w:lineRule="auto"/>
              <w:ind w:firstLine="0"/>
              <w:jc w:val="left"/>
              <w:rPr>
                <w:rFonts w:cs="Arial"/>
                <w:sz w:val="16"/>
                <w:szCs w:val="16"/>
              </w:rPr>
            </w:pPr>
            <w:r w:rsidRPr="00274B5D">
              <w:rPr>
                <w:rFonts w:cs="Arial"/>
                <w:sz w:val="16"/>
                <w:szCs w:val="16"/>
              </w:rPr>
              <w:t>Delitti dei pubblici ufficiali contro la pubblica amministrazione</w:t>
            </w:r>
          </w:p>
        </w:tc>
        <w:tc>
          <w:tcPr>
            <w:tcW w:w="600" w:type="dxa"/>
            <w:tcBorders>
              <w:top w:val="nil"/>
              <w:left w:val="nil"/>
              <w:bottom w:val="nil"/>
              <w:right w:val="nil"/>
            </w:tcBorders>
            <w:shd w:val="clear" w:color="auto" w:fill="auto"/>
            <w:noWrap/>
            <w:vAlign w:val="bottom"/>
            <w:hideMark/>
          </w:tcPr>
          <w:p w14:paraId="18C9778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339</w:t>
            </w:r>
          </w:p>
        </w:tc>
        <w:tc>
          <w:tcPr>
            <w:tcW w:w="600" w:type="dxa"/>
            <w:tcBorders>
              <w:top w:val="nil"/>
              <w:left w:val="nil"/>
              <w:bottom w:val="nil"/>
              <w:right w:val="nil"/>
            </w:tcBorders>
            <w:shd w:val="clear" w:color="auto" w:fill="auto"/>
            <w:noWrap/>
            <w:vAlign w:val="bottom"/>
            <w:hideMark/>
          </w:tcPr>
          <w:p w14:paraId="03FACC03"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301</w:t>
            </w:r>
          </w:p>
        </w:tc>
        <w:tc>
          <w:tcPr>
            <w:tcW w:w="600" w:type="dxa"/>
            <w:tcBorders>
              <w:top w:val="nil"/>
              <w:left w:val="nil"/>
              <w:bottom w:val="nil"/>
              <w:right w:val="nil"/>
            </w:tcBorders>
            <w:shd w:val="clear" w:color="auto" w:fill="auto"/>
            <w:noWrap/>
            <w:vAlign w:val="bottom"/>
            <w:hideMark/>
          </w:tcPr>
          <w:p w14:paraId="47714663"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292</w:t>
            </w:r>
          </w:p>
        </w:tc>
        <w:tc>
          <w:tcPr>
            <w:tcW w:w="600" w:type="dxa"/>
            <w:tcBorders>
              <w:top w:val="nil"/>
              <w:left w:val="nil"/>
              <w:bottom w:val="nil"/>
              <w:right w:val="nil"/>
            </w:tcBorders>
            <w:shd w:val="clear" w:color="auto" w:fill="auto"/>
            <w:noWrap/>
            <w:vAlign w:val="bottom"/>
            <w:hideMark/>
          </w:tcPr>
          <w:p w14:paraId="5FA61FC0"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304</w:t>
            </w:r>
          </w:p>
        </w:tc>
        <w:tc>
          <w:tcPr>
            <w:tcW w:w="600" w:type="dxa"/>
            <w:tcBorders>
              <w:top w:val="nil"/>
              <w:left w:val="nil"/>
              <w:bottom w:val="nil"/>
              <w:right w:val="nil"/>
            </w:tcBorders>
            <w:shd w:val="clear" w:color="auto" w:fill="auto"/>
            <w:noWrap/>
            <w:vAlign w:val="bottom"/>
            <w:hideMark/>
          </w:tcPr>
          <w:p w14:paraId="031CF62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312</w:t>
            </w:r>
          </w:p>
        </w:tc>
        <w:tc>
          <w:tcPr>
            <w:tcW w:w="600" w:type="dxa"/>
            <w:tcBorders>
              <w:top w:val="nil"/>
              <w:left w:val="nil"/>
              <w:bottom w:val="nil"/>
              <w:right w:val="nil"/>
            </w:tcBorders>
            <w:shd w:val="clear" w:color="auto" w:fill="auto"/>
            <w:noWrap/>
            <w:vAlign w:val="bottom"/>
            <w:hideMark/>
          </w:tcPr>
          <w:p w14:paraId="091BCAC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339</w:t>
            </w:r>
          </w:p>
        </w:tc>
        <w:tc>
          <w:tcPr>
            <w:tcW w:w="600" w:type="dxa"/>
            <w:tcBorders>
              <w:top w:val="nil"/>
              <w:left w:val="nil"/>
              <w:bottom w:val="nil"/>
              <w:right w:val="nil"/>
            </w:tcBorders>
            <w:shd w:val="clear" w:color="auto" w:fill="auto"/>
            <w:noWrap/>
            <w:vAlign w:val="bottom"/>
            <w:hideMark/>
          </w:tcPr>
          <w:p w14:paraId="0A3EE5E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430</w:t>
            </w:r>
          </w:p>
        </w:tc>
        <w:tc>
          <w:tcPr>
            <w:tcW w:w="600" w:type="dxa"/>
            <w:tcBorders>
              <w:top w:val="nil"/>
              <w:left w:val="nil"/>
              <w:bottom w:val="nil"/>
              <w:right w:val="nil"/>
            </w:tcBorders>
            <w:shd w:val="clear" w:color="auto" w:fill="auto"/>
            <w:noWrap/>
            <w:vAlign w:val="bottom"/>
            <w:hideMark/>
          </w:tcPr>
          <w:p w14:paraId="2A067C7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2.317</w:t>
            </w:r>
          </w:p>
        </w:tc>
      </w:tr>
      <w:tr w:rsidR="00274B5D" w:rsidRPr="00274B5D" w14:paraId="3EACCA48" w14:textId="77777777" w:rsidTr="00274B5D">
        <w:trPr>
          <w:trHeight w:val="225"/>
        </w:trPr>
        <w:tc>
          <w:tcPr>
            <w:tcW w:w="4880" w:type="dxa"/>
            <w:tcBorders>
              <w:top w:val="nil"/>
              <w:left w:val="nil"/>
              <w:bottom w:val="nil"/>
              <w:right w:val="nil"/>
            </w:tcBorders>
            <w:shd w:val="clear" w:color="auto" w:fill="auto"/>
            <w:noWrap/>
            <w:vAlign w:val="bottom"/>
            <w:hideMark/>
          </w:tcPr>
          <w:p w14:paraId="500D0496"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 xml:space="preserve">di cui: </w:t>
            </w:r>
          </w:p>
        </w:tc>
        <w:tc>
          <w:tcPr>
            <w:tcW w:w="600" w:type="dxa"/>
            <w:tcBorders>
              <w:top w:val="nil"/>
              <w:left w:val="nil"/>
              <w:bottom w:val="nil"/>
              <w:right w:val="nil"/>
            </w:tcBorders>
            <w:shd w:val="clear" w:color="auto" w:fill="auto"/>
            <w:noWrap/>
            <w:vAlign w:val="bottom"/>
            <w:hideMark/>
          </w:tcPr>
          <w:p w14:paraId="1E75C184" w14:textId="77777777" w:rsidR="00274B5D" w:rsidRPr="00274B5D" w:rsidRDefault="00274B5D" w:rsidP="00274B5D">
            <w:pPr>
              <w:spacing w:line="240" w:lineRule="auto"/>
              <w:ind w:firstLineChars="400" w:firstLine="640"/>
              <w:jc w:val="left"/>
              <w:rPr>
                <w:rFonts w:cs="Arial"/>
                <w:sz w:val="16"/>
                <w:szCs w:val="16"/>
              </w:rPr>
            </w:pPr>
          </w:p>
        </w:tc>
        <w:tc>
          <w:tcPr>
            <w:tcW w:w="600" w:type="dxa"/>
            <w:tcBorders>
              <w:top w:val="nil"/>
              <w:left w:val="nil"/>
              <w:bottom w:val="nil"/>
              <w:right w:val="nil"/>
            </w:tcBorders>
            <w:shd w:val="clear" w:color="auto" w:fill="auto"/>
            <w:noWrap/>
            <w:vAlign w:val="bottom"/>
            <w:hideMark/>
          </w:tcPr>
          <w:p w14:paraId="268DA252"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2298F490"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0EB0ACF"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340A8084"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11F10F37"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7E15A7D"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4B595F60" w14:textId="77777777" w:rsidR="00274B5D" w:rsidRPr="00274B5D" w:rsidRDefault="00274B5D" w:rsidP="00274B5D">
            <w:pPr>
              <w:spacing w:line="240" w:lineRule="auto"/>
              <w:ind w:firstLine="0"/>
              <w:jc w:val="right"/>
              <w:rPr>
                <w:rFonts w:ascii="Times New Roman" w:hAnsi="Times New Roman"/>
              </w:rPr>
            </w:pPr>
          </w:p>
        </w:tc>
      </w:tr>
      <w:tr w:rsidR="00274B5D" w:rsidRPr="00274B5D" w14:paraId="12848232" w14:textId="77777777" w:rsidTr="00274B5D">
        <w:trPr>
          <w:trHeight w:val="225"/>
        </w:trPr>
        <w:tc>
          <w:tcPr>
            <w:tcW w:w="4880" w:type="dxa"/>
            <w:tcBorders>
              <w:top w:val="nil"/>
              <w:left w:val="nil"/>
              <w:bottom w:val="nil"/>
              <w:right w:val="nil"/>
            </w:tcBorders>
            <w:shd w:val="clear" w:color="auto" w:fill="auto"/>
            <w:noWrap/>
            <w:vAlign w:val="bottom"/>
            <w:hideMark/>
          </w:tcPr>
          <w:p w14:paraId="05D8EEEC"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peculato</w:t>
            </w:r>
          </w:p>
        </w:tc>
        <w:tc>
          <w:tcPr>
            <w:tcW w:w="600" w:type="dxa"/>
            <w:tcBorders>
              <w:top w:val="nil"/>
              <w:left w:val="nil"/>
              <w:bottom w:val="nil"/>
              <w:right w:val="nil"/>
            </w:tcBorders>
            <w:shd w:val="clear" w:color="auto" w:fill="auto"/>
            <w:noWrap/>
            <w:vAlign w:val="bottom"/>
            <w:hideMark/>
          </w:tcPr>
          <w:p w14:paraId="6E528123"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34</w:t>
            </w:r>
          </w:p>
        </w:tc>
        <w:tc>
          <w:tcPr>
            <w:tcW w:w="600" w:type="dxa"/>
            <w:tcBorders>
              <w:top w:val="nil"/>
              <w:left w:val="nil"/>
              <w:bottom w:val="nil"/>
              <w:right w:val="nil"/>
            </w:tcBorders>
            <w:shd w:val="clear" w:color="auto" w:fill="auto"/>
            <w:noWrap/>
            <w:vAlign w:val="bottom"/>
            <w:hideMark/>
          </w:tcPr>
          <w:p w14:paraId="6E311EC3"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41</w:t>
            </w:r>
          </w:p>
        </w:tc>
        <w:tc>
          <w:tcPr>
            <w:tcW w:w="600" w:type="dxa"/>
            <w:tcBorders>
              <w:top w:val="nil"/>
              <w:left w:val="nil"/>
              <w:bottom w:val="nil"/>
              <w:right w:val="nil"/>
            </w:tcBorders>
            <w:shd w:val="clear" w:color="auto" w:fill="auto"/>
            <w:noWrap/>
            <w:vAlign w:val="bottom"/>
            <w:hideMark/>
          </w:tcPr>
          <w:p w14:paraId="6D761333"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55</w:t>
            </w:r>
          </w:p>
        </w:tc>
        <w:tc>
          <w:tcPr>
            <w:tcW w:w="600" w:type="dxa"/>
            <w:tcBorders>
              <w:top w:val="nil"/>
              <w:left w:val="nil"/>
              <w:bottom w:val="nil"/>
              <w:right w:val="nil"/>
            </w:tcBorders>
            <w:shd w:val="clear" w:color="auto" w:fill="auto"/>
            <w:noWrap/>
            <w:vAlign w:val="bottom"/>
            <w:hideMark/>
          </w:tcPr>
          <w:p w14:paraId="65CB8F2D"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59</w:t>
            </w:r>
          </w:p>
        </w:tc>
        <w:tc>
          <w:tcPr>
            <w:tcW w:w="600" w:type="dxa"/>
            <w:tcBorders>
              <w:top w:val="nil"/>
              <w:left w:val="nil"/>
              <w:bottom w:val="nil"/>
              <w:right w:val="nil"/>
            </w:tcBorders>
            <w:shd w:val="clear" w:color="auto" w:fill="auto"/>
            <w:noWrap/>
            <w:vAlign w:val="bottom"/>
            <w:hideMark/>
          </w:tcPr>
          <w:p w14:paraId="4D4090B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52</w:t>
            </w:r>
          </w:p>
        </w:tc>
        <w:tc>
          <w:tcPr>
            <w:tcW w:w="600" w:type="dxa"/>
            <w:tcBorders>
              <w:top w:val="nil"/>
              <w:left w:val="nil"/>
              <w:bottom w:val="nil"/>
              <w:right w:val="nil"/>
            </w:tcBorders>
            <w:shd w:val="clear" w:color="auto" w:fill="auto"/>
            <w:noWrap/>
            <w:vAlign w:val="bottom"/>
            <w:hideMark/>
          </w:tcPr>
          <w:p w14:paraId="40FD388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56</w:t>
            </w:r>
          </w:p>
        </w:tc>
        <w:tc>
          <w:tcPr>
            <w:tcW w:w="600" w:type="dxa"/>
            <w:tcBorders>
              <w:top w:val="nil"/>
              <w:left w:val="nil"/>
              <w:bottom w:val="nil"/>
              <w:right w:val="nil"/>
            </w:tcBorders>
            <w:shd w:val="clear" w:color="auto" w:fill="auto"/>
            <w:noWrap/>
            <w:vAlign w:val="bottom"/>
            <w:hideMark/>
          </w:tcPr>
          <w:p w14:paraId="4D6EE178"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44</w:t>
            </w:r>
          </w:p>
        </w:tc>
        <w:tc>
          <w:tcPr>
            <w:tcW w:w="600" w:type="dxa"/>
            <w:tcBorders>
              <w:top w:val="nil"/>
              <w:left w:val="nil"/>
              <w:bottom w:val="nil"/>
              <w:right w:val="nil"/>
            </w:tcBorders>
            <w:shd w:val="clear" w:color="auto" w:fill="auto"/>
            <w:noWrap/>
            <w:vAlign w:val="bottom"/>
            <w:hideMark/>
          </w:tcPr>
          <w:p w14:paraId="31CCA28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341</w:t>
            </w:r>
          </w:p>
        </w:tc>
      </w:tr>
      <w:tr w:rsidR="00274B5D" w:rsidRPr="00274B5D" w14:paraId="3226696D" w14:textId="77777777" w:rsidTr="00274B5D">
        <w:trPr>
          <w:trHeight w:val="225"/>
        </w:trPr>
        <w:tc>
          <w:tcPr>
            <w:tcW w:w="4880" w:type="dxa"/>
            <w:tcBorders>
              <w:top w:val="nil"/>
              <w:left w:val="nil"/>
              <w:bottom w:val="nil"/>
              <w:right w:val="nil"/>
            </w:tcBorders>
            <w:shd w:val="clear" w:color="auto" w:fill="auto"/>
            <w:noWrap/>
            <w:vAlign w:val="bottom"/>
            <w:hideMark/>
          </w:tcPr>
          <w:p w14:paraId="00836786"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malversazione</w:t>
            </w:r>
          </w:p>
        </w:tc>
        <w:tc>
          <w:tcPr>
            <w:tcW w:w="600" w:type="dxa"/>
            <w:tcBorders>
              <w:top w:val="nil"/>
              <w:left w:val="nil"/>
              <w:bottom w:val="nil"/>
              <w:right w:val="nil"/>
            </w:tcBorders>
            <w:shd w:val="clear" w:color="auto" w:fill="auto"/>
            <w:noWrap/>
            <w:vAlign w:val="bottom"/>
            <w:hideMark/>
          </w:tcPr>
          <w:p w14:paraId="4C272B5D"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w:t>
            </w:r>
          </w:p>
        </w:tc>
        <w:tc>
          <w:tcPr>
            <w:tcW w:w="600" w:type="dxa"/>
            <w:tcBorders>
              <w:top w:val="nil"/>
              <w:left w:val="nil"/>
              <w:bottom w:val="nil"/>
              <w:right w:val="nil"/>
            </w:tcBorders>
            <w:shd w:val="clear" w:color="auto" w:fill="auto"/>
            <w:noWrap/>
            <w:vAlign w:val="bottom"/>
            <w:hideMark/>
          </w:tcPr>
          <w:p w14:paraId="15B764A8"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7</w:t>
            </w:r>
          </w:p>
        </w:tc>
        <w:tc>
          <w:tcPr>
            <w:tcW w:w="600" w:type="dxa"/>
            <w:tcBorders>
              <w:top w:val="nil"/>
              <w:left w:val="nil"/>
              <w:bottom w:val="nil"/>
              <w:right w:val="nil"/>
            </w:tcBorders>
            <w:shd w:val="clear" w:color="auto" w:fill="auto"/>
            <w:noWrap/>
            <w:vAlign w:val="bottom"/>
            <w:hideMark/>
          </w:tcPr>
          <w:p w14:paraId="379D461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nil"/>
              <w:right w:val="nil"/>
            </w:tcBorders>
            <w:shd w:val="clear" w:color="auto" w:fill="auto"/>
            <w:noWrap/>
            <w:vAlign w:val="bottom"/>
            <w:hideMark/>
          </w:tcPr>
          <w:p w14:paraId="2797B28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8</w:t>
            </w:r>
          </w:p>
        </w:tc>
        <w:tc>
          <w:tcPr>
            <w:tcW w:w="600" w:type="dxa"/>
            <w:tcBorders>
              <w:top w:val="nil"/>
              <w:left w:val="nil"/>
              <w:bottom w:val="nil"/>
              <w:right w:val="nil"/>
            </w:tcBorders>
            <w:shd w:val="clear" w:color="auto" w:fill="auto"/>
            <w:noWrap/>
            <w:vAlign w:val="bottom"/>
            <w:hideMark/>
          </w:tcPr>
          <w:p w14:paraId="01A7F54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22</w:t>
            </w:r>
          </w:p>
        </w:tc>
        <w:tc>
          <w:tcPr>
            <w:tcW w:w="600" w:type="dxa"/>
            <w:tcBorders>
              <w:top w:val="nil"/>
              <w:left w:val="nil"/>
              <w:bottom w:val="nil"/>
              <w:right w:val="nil"/>
            </w:tcBorders>
            <w:shd w:val="clear" w:color="auto" w:fill="auto"/>
            <w:noWrap/>
            <w:vAlign w:val="bottom"/>
            <w:hideMark/>
          </w:tcPr>
          <w:p w14:paraId="237871C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33</w:t>
            </w:r>
          </w:p>
        </w:tc>
        <w:tc>
          <w:tcPr>
            <w:tcW w:w="600" w:type="dxa"/>
            <w:tcBorders>
              <w:top w:val="nil"/>
              <w:left w:val="nil"/>
              <w:bottom w:val="nil"/>
              <w:right w:val="nil"/>
            </w:tcBorders>
            <w:shd w:val="clear" w:color="auto" w:fill="auto"/>
            <w:noWrap/>
            <w:vAlign w:val="bottom"/>
            <w:hideMark/>
          </w:tcPr>
          <w:p w14:paraId="5EB22E8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148</w:t>
            </w:r>
          </w:p>
        </w:tc>
        <w:tc>
          <w:tcPr>
            <w:tcW w:w="600" w:type="dxa"/>
            <w:tcBorders>
              <w:top w:val="nil"/>
              <w:left w:val="nil"/>
              <w:bottom w:val="nil"/>
              <w:right w:val="nil"/>
            </w:tcBorders>
            <w:shd w:val="clear" w:color="auto" w:fill="auto"/>
            <w:noWrap/>
            <w:vAlign w:val="bottom"/>
            <w:hideMark/>
          </w:tcPr>
          <w:p w14:paraId="74B07FD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237</w:t>
            </w:r>
          </w:p>
        </w:tc>
      </w:tr>
      <w:tr w:rsidR="00274B5D" w:rsidRPr="00274B5D" w14:paraId="199E1E62" w14:textId="77777777" w:rsidTr="00274B5D">
        <w:trPr>
          <w:trHeight w:val="225"/>
        </w:trPr>
        <w:tc>
          <w:tcPr>
            <w:tcW w:w="4880" w:type="dxa"/>
            <w:tcBorders>
              <w:top w:val="nil"/>
              <w:left w:val="nil"/>
              <w:bottom w:val="nil"/>
              <w:right w:val="nil"/>
            </w:tcBorders>
            <w:shd w:val="clear" w:color="auto" w:fill="auto"/>
            <w:noWrap/>
            <w:vAlign w:val="bottom"/>
            <w:hideMark/>
          </w:tcPr>
          <w:p w14:paraId="06A74528"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concussione</w:t>
            </w:r>
          </w:p>
        </w:tc>
        <w:tc>
          <w:tcPr>
            <w:tcW w:w="600" w:type="dxa"/>
            <w:tcBorders>
              <w:top w:val="nil"/>
              <w:left w:val="nil"/>
              <w:bottom w:val="nil"/>
              <w:right w:val="nil"/>
            </w:tcBorders>
            <w:shd w:val="clear" w:color="auto" w:fill="auto"/>
            <w:noWrap/>
            <w:vAlign w:val="bottom"/>
            <w:hideMark/>
          </w:tcPr>
          <w:p w14:paraId="5A14B8B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nil"/>
              <w:right w:val="nil"/>
            </w:tcBorders>
            <w:shd w:val="clear" w:color="auto" w:fill="auto"/>
            <w:noWrap/>
            <w:vAlign w:val="bottom"/>
            <w:hideMark/>
          </w:tcPr>
          <w:p w14:paraId="6800271D"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w:t>
            </w:r>
          </w:p>
        </w:tc>
        <w:tc>
          <w:tcPr>
            <w:tcW w:w="600" w:type="dxa"/>
            <w:tcBorders>
              <w:top w:val="nil"/>
              <w:left w:val="nil"/>
              <w:bottom w:val="nil"/>
              <w:right w:val="nil"/>
            </w:tcBorders>
            <w:shd w:val="clear" w:color="auto" w:fill="auto"/>
            <w:noWrap/>
            <w:vAlign w:val="bottom"/>
            <w:hideMark/>
          </w:tcPr>
          <w:p w14:paraId="68E9786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nil"/>
              <w:right w:val="nil"/>
            </w:tcBorders>
            <w:shd w:val="clear" w:color="auto" w:fill="auto"/>
            <w:noWrap/>
            <w:vAlign w:val="bottom"/>
            <w:hideMark/>
          </w:tcPr>
          <w:p w14:paraId="5FBDAED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12</w:t>
            </w:r>
          </w:p>
        </w:tc>
        <w:tc>
          <w:tcPr>
            <w:tcW w:w="600" w:type="dxa"/>
            <w:tcBorders>
              <w:top w:val="nil"/>
              <w:left w:val="nil"/>
              <w:bottom w:val="nil"/>
              <w:right w:val="nil"/>
            </w:tcBorders>
            <w:shd w:val="clear" w:color="auto" w:fill="auto"/>
            <w:noWrap/>
            <w:vAlign w:val="bottom"/>
            <w:hideMark/>
          </w:tcPr>
          <w:p w14:paraId="0AEA0FC8"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w:t>
            </w:r>
          </w:p>
        </w:tc>
        <w:tc>
          <w:tcPr>
            <w:tcW w:w="600" w:type="dxa"/>
            <w:tcBorders>
              <w:top w:val="nil"/>
              <w:left w:val="nil"/>
              <w:bottom w:val="nil"/>
              <w:right w:val="nil"/>
            </w:tcBorders>
            <w:shd w:val="clear" w:color="auto" w:fill="auto"/>
            <w:noWrap/>
            <w:vAlign w:val="bottom"/>
            <w:hideMark/>
          </w:tcPr>
          <w:p w14:paraId="506C27A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w:t>
            </w:r>
          </w:p>
        </w:tc>
        <w:tc>
          <w:tcPr>
            <w:tcW w:w="600" w:type="dxa"/>
            <w:tcBorders>
              <w:top w:val="nil"/>
              <w:left w:val="nil"/>
              <w:bottom w:val="nil"/>
              <w:right w:val="nil"/>
            </w:tcBorders>
            <w:shd w:val="clear" w:color="auto" w:fill="auto"/>
            <w:noWrap/>
            <w:vAlign w:val="bottom"/>
            <w:hideMark/>
          </w:tcPr>
          <w:p w14:paraId="603ADE4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w:t>
            </w:r>
          </w:p>
        </w:tc>
        <w:tc>
          <w:tcPr>
            <w:tcW w:w="600" w:type="dxa"/>
            <w:tcBorders>
              <w:top w:val="nil"/>
              <w:left w:val="nil"/>
              <w:bottom w:val="nil"/>
              <w:right w:val="nil"/>
            </w:tcBorders>
            <w:shd w:val="clear" w:color="auto" w:fill="auto"/>
            <w:noWrap/>
            <w:vAlign w:val="bottom"/>
            <w:hideMark/>
          </w:tcPr>
          <w:p w14:paraId="4D6E401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66</w:t>
            </w:r>
          </w:p>
        </w:tc>
      </w:tr>
      <w:tr w:rsidR="00274B5D" w:rsidRPr="00274B5D" w14:paraId="37251A37" w14:textId="77777777" w:rsidTr="00274B5D">
        <w:trPr>
          <w:trHeight w:val="225"/>
        </w:trPr>
        <w:tc>
          <w:tcPr>
            <w:tcW w:w="4880" w:type="dxa"/>
            <w:tcBorders>
              <w:top w:val="nil"/>
              <w:left w:val="nil"/>
              <w:bottom w:val="nil"/>
              <w:right w:val="nil"/>
            </w:tcBorders>
            <w:shd w:val="clear" w:color="auto" w:fill="auto"/>
            <w:noWrap/>
            <w:vAlign w:val="bottom"/>
            <w:hideMark/>
          </w:tcPr>
          <w:p w14:paraId="62004F85"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corruzione</w:t>
            </w:r>
          </w:p>
        </w:tc>
        <w:tc>
          <w:tcPr>
            <w:tcW w:w="600" w:type="dxa"/>
            <w:tcBorders>
              <w:top w:val="nil"/>
              <w:left w:val="nil"/>
              <w:bottom w:val="nil"/>
              <w:right w:val="nil"/>
            </w:tcBorders>
            <w:shd w:val="clear" w:color="auto" w:fill="auto"/>
            <w:noWrap/>
            <w:vAlign w:val="bottom"/>
            <w:hideMark/>
          </w:tcPr>
          <w:p w14:paraId="40F78AD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27</w:t>
            </w:r>
          </w:p>
        </w:tc>
        <w:tc>
          <w:tcPr>
            <w:tcW w:w="600" w:type="dxa"/>
            <w:tcBorders>
              <w:top w:val="nil"/>
              <w:left w:val="nil"/>
              <w:bottom w:val="nil"/>
              <w:right w:val="nil"/>
            </w:tcBorders>
            <w:shd w:val="clear" w:color="auto" w:fill="auto"/>
            <w:noWrap/>
            <w:vAlign w:val="bottom"/>
            <w:hideMark/>
          </w:tcPr>
          <w:p w14:paraId="7395442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w:t>
            </w:r>
          </w:p>
        </w:tc>
        <w:tc>
          <w:tcPr>
            <w:tcW w:w="600" w:type="dxa"/>
            <w:tcBorders>
              <w:top w:val="nil"/>
              <w:left w:val="nil"/>
              <w:bottom w:val="nil"/>
              <w:right w:val="nil"/>
            </w:tcBorders>
            <w:shd w:val="clear" w:color="auto" w:fill="auto"/>
            <w:noWrap/>
            <w:vAlign w:val="bottom"/>
            <w:hideMark/>
          </w:tcPr>
          <w:p w14:paraId="40653A6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30</w:t>
            </w:r>
          </w:p>
        </w:tc>
        <w:tc>
          <w:tcPr>
            <w:tcW w:w="600" w:type="dxa"/>
            <w:tcBorders>
              <w:top w:val="nil"/>
              <w:left w:val="nil"/>
              <w:bottom w:val="nil"/>
              <w:right w:val="nil"/>
            </w:tcBorders>
            <w:shd w:val="clear" w:color="auto" w:fill="auto"/>
            <w:noWrap/>
            <w:vAlign w:val="bottom"/>
            <w:hideMark/>
          </w:tcPr>
          <w:p w14:paraId="067F5DE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26</w:t>
            </w:r>
          </w:p>
        </w:tc>
        <w:tc>
          <w:tcPr>
            <w:tcW w:w="600" w:type="dxa"/>
            <w:tcBorders>
              <w:top w:val="nil"/>
              <w:left w:val="nil"/>
              <w:bottom w:val="nil"/>
              <w:right w:val="nil"/>
            </w:tcBorders>
            <w:shd w:val="clear" w:color="auto" w:fill="auto"/>
            <w:noWrap/>
            <w:vAlign w:val="bottom"/>
            <w:hideMark/>
          </w:tcPr>
          <w:p w14:paraId="5F42863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15</w:t>
            </w:r>
          </w:p>
        </w:tc>
        <w:tc>
          <w:tcPr>
            <w:tcW w:w="600" w:type="dxa"/>
            <w:tcBorders>
              <w:top w:val="nil"/>
              <w:left w:val="nil"/>
              <w:bottom w:val="nil"/>
              <w:right w:val="nil"/>
            </w:tcBorders>
            <w:shd w:val="clear" w:color="auto" w:fill="auto"/>
            <w:noWrap/>
            <w:vAlign w:val="bottom"/>
            <w:hideMark/>
          </w:tcPr>
          <w:p w14:paraId="1623CC4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16</w:t>
            </w:r>
          </w:p>
        </w:tc>
        <w:tc>
          <w:tcPr>
            <w:tcW w:w="600" w:type="dxa"/>
            <w:tcBorders>
              <w:top w:val="nil"/>
              <w:left w:val="nil"/>
              <w:bottom w:val="nil"/>
              <w:right w:val="nil"/>
            </w:tcBorders>
            <w:shd w:val="clear" w:color="auto" w:fill="auto"/>
            <w:noWrap/>
            <w:vAlign w:val="bottom"/>
            <w:hideMark/>
          </w:tcPr>
          <w:p w14:paraId="76600FD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w:t>
            </w:r>
          </w:p>
        </w:tc>
        <w:tc>
          <w:tcPr>
            <w:tcW w:w="600" w:type="dxa"/>
            <w:tcBorders>
              <w:top w:val="nil"/>
              <w:left w:val="nil"/>
              <w:bottom w:val="nil"/>
              <w:right w:val="nil"/>
            </w:tcBorders>
            <w:shd w:val="clear" w:color="auto" w:fill="auto"/>
            <w:noWrap/>
            <w:vAlign w:val="bottom"/>
            <w:hideMark/>
          </w:tcPr>
          <w:p w14:paraId="5E4C7B5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154</w:t>
            </w:r>
          </w:p>
        </w:tc>
      </w:tr>
      <w:tr w:rsidR="00274B5D" w:rsidRPr="00274B5D" w14:paraId="280C1F69" w14:textId="77777777" w:rsidTr="00274B5D">
        <w:trPr>
          <w:trHeight w:val="225"/>
        </w:trPr>
        <w:tc>
          <w:tcPr>
            <w:tcW w:w="4880" w:type="dxa"/>
            <w:tcBorders>
              <w:top w:val="nil"/>
              <w:left w:val="nil"/>
              <w:bottom w:val="nil"/>
              <w:right w:val="nil"/>
            </w:tcBorders>
            <w:shd w:val="clear" w:color="auto" w:fill="auto"/>
            <w:noWrap/>
            <w:vAlign w:val="bottom"/>
            <w:hideMark/>
          </w:tcPr>
          <w:p w14:paraId="256B86C0" w14:textId="77777777" w:rsidR="00274B5D" w:rsidRPr="00274B5D" w:rsidRDefault="00274B5D" w:rsidP="00274B5D">
            <w:pPr>
              <w:spacing w:line="240" w:lineRule="auto"/>
              <w:ind w:firstLine="0"/>
              <w:jc w:val="right"/>
              <w:rPr>
                <w:rFonts w:cs="Arial"/>
                <w:sz w:val="16"/>
                <w:szCs w:val="16"/>
              </w:rPr>
            </w:pPr>
          </w:p>
        </w:tc>
        <w:tc>
          <w:tcPr>
            <w:tcW w:w="600" w:type="dxa"/>
            <w:tcBorders>
              <w:top w:val="nil"/>
              <w:left w:val="nil"/>
              <w:bottom w:val="nil"/>
              <w:right w:val="nil"/>
            </w:tcBorders>
            <w:shd w:val="clear" w:color="auto" w:fill="auto"/>
            <w:noWrap/>
            <w:vAlign w:val="bottom"/>
            <w:hideMark/>
          </w:tcPr>
          <w:p w14:paraId="291D3444" w14:textId="77777777" w:rsidR="00274B5D" w:rsidRPr="00274B5D" w:rsidRDefault="00274B5D" w:rsidP="00274B5D">
            <w:pPr>
              <w:spacing w:line="240" w:lineRule="auto"/>
              <w:ind w:firstLine="0"/>
              <w:jc w:val="left"/>
              <w:rPr>
                <w:rFonts w:ascii="Times New Roman" w:hAnsi="Times New Roman"/>
              </w:rPr>
            </w:pPr>
          </w:p>
        </w:tc>
        <w:tc>
          <w:tcPr>
            <w:tcW w:w="600" w:type="dxa"/>
            <w:tcBorders>
              <w:top w:val="nil"/>
              <w:left w:val="nil"/>
              <w:bottom w:val="nil"/>
              <w:right w:val="nil"/>
            </w:tcBorders>
            <w:shd w:val="clear" w:color="auto" w:fill="auto"/>
            <w:noWrap/>
            <w:vAlign w:val="bottom"/>
            <w:hideMark/>
          </w:tcPr>
          <w:p w14:paraId="606AD73D"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7DD02463"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3510D304"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17C0D67"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F1B1729"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7D546B90"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2AAF7444" w14:textId="77777777" w:rsidR="00274B5D" w:rsidRPr="00274B5D" w:rsidRDefault="00274B5D" w:rsidP="00274B5D">
            <w:pPr>
              <w:spacing w:line="240" w:lineRule="auto"/>
              <w:ind w:firstLine="0"/>
              <w:jc w:val="right"/>
              <w:rPr>
                <w:rFonts w:ascii="Times New Roman" w:hAnsi="Times New Roman"/>
              </w:rPr>
            </w:pPr>
          </w:p>
        </w:tc>
      </w:tr>
      <w:tr w:rsidR="00274B5D" w:rsidRPr="00274B5D" w14:paraId="35E3C49B" w14:textId="77777777" w:rsidTr="00274B5D">
        <w:trPr>
          <w:trHeight w:val="225"/>
        </w:trPr>
        <w:tc>
          <w:tcPr>
            <w:tcW w:w="4880" w:type="dxa"/>
            <w:tcBorders>
              <w:top w:val="nil"/>
              <w:left w:val="nil"/>
              <w:bottom w:val="nil"/>
              <w:right w:val="nil"/>
            </w:tcBorders>
            <w:shd w:val="clear" w:color="auto" w:fill="auto"/>
            <w:noWrap/>
            <w:vAlign w:val="bottom"/>
            <w:hideMark/>
          </w:tcPr>
          <w:p w14:paraId="741DB64A" w14:textId="59864670" w:rsidR="00274B5D" w:rsidRPr="00274B5D" w:rsidRDefault="00274B5D" w:rsidP="00274B5D">
            <w:pPr>
              <w:spacing w:line="240" w:lineRule="auto"/>
              <w:ind w:firstLine="0"/>
              <w:jc w:val="left"/>
              <w:rPr>
                <w:rFonts w:cs="Arial"/>
                <w:b/>
                <w:bCs/>
                <w:sz w:val="16"/>
                <w:szCs w:val="16"/>
              </w:rPr>
            </w:pPr>
            <w:r w:rsidRPr="00274B5D">
              <w:rPr>
                <w:rFonts w:cs="Arial"/>
                <w:b/>
                <w:bCs/>
                <w:sz w:val="16"/>
                <w:szCs w:val="16"/>
              </w:rPr>
              <w:t>CONDANNATI CON SENTENZA DEFINITI</w:t>
            </w:r>
            <w:r w:rsidR="00671D58">
              <w:rPr>
                <w:rFonts w:cs="Arial"/>
                <w:b/>
                <w:bCs/>
                <w:sz w:val="16"/>
                <w:szCs w:val="16"/>
              </w:rPr>
              <w:t>V</w:t>
            </w:r>
            <w:r w:rsidRPr="00274B5D">
              <w:rPr>
                <w:rFonts w:cs="Arial"/>
                <w:b/>
                <w:bCs/>
                <w:sz w:val="16"/>
                <w:szCs w:val="16"/>
              </w:rPr>
              <w:t>A</w:t>
            </w:r>
          </w:p>
        </w:tc>
        <w:tc>
          <w:tcPr>
            <w:tcW w:w="600" w:type="dxa"/>
            <w:tcBorders>
              <w:top w:val="nil"/>
              <w:left w:val="nil"/>
              <w:bottom w:val="nil"/>
              <w:right w:val="nil"/>
            </w:tcBorders>
            <w:shd w:val="clear" w:color="auto" w:fill="auto"/>
            <w:noWrap/>
            <w:vAlign w:val="bottom"/>
            <w:hideMark/>
          </w:tcPr>
          <w:p w14:paraId="32E72919" w14:textId="77777777" w:rsidR="00274B5D" w:rsidRPr="00274B5D" w:rsidRDefault="00274B5D" w:rsidP="00274B5D">
            <w:pPr>
              <w:spacing w:line="240" w:lineRule="auto"/>
              <w:ind w:firstLine="0"/>
              <w:jc w:val="left"/>
              <w:rPr>
                <w:rFonts w:cs="Arial"/>
                <w:b/>
                <w:bCs/>
                <w:sz w:val="16"/>
                <w:szCs w:val="16"/>
              </w:rPr>
            </w:pPr>
          </w:p>
        </w:tc>
        <w:tc>
          <w:tcPr>
            <w:tcW w:w="600" w:type="dxa"/>
            <w:tcBorders>
              <w:top w:val="nil"/>
              <w:left w:val="nil"/>
              <w:bottom w:val="nil"/>
              <w:right w:val="nil"/>
            </w:tcBorders>
            <w:shd w:val="clear" w:color="auto" w:fill="auto"/>
            <w:noWrap/>
            <w:vAlign w:val="bottom"/>
            <w:hideMark/>
          </w:tcPr>
          <w:p w14:paraId="6920736E"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1CF92A84"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1DE0BE7B"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51F834D2"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3A0F48B6"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77654196"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0291FEAC" w14:textId="77777777" w:rsidR="00274B5D" w:rsidRPr="00274B5D" w:rsidRDefault="00274B5D" w:rsidP="00274B5D">
            <w:pPr>
              <w:spacing w:line="240" w:lineRule="auto"/>
              <w:ind w:firstLine="0"/>
              <w:jc w:val="right"/>
              <w:rPr>
                <w:rFonts w:ascii="Times New Roman" w:hAnsi="Times New Roman"/>
              </w:rPr>
            </w:pPr>
          </w:p>
        </w:tc>
      </w:tr>
      <w:tr w:rsidR="00274B5D" w:rsidRPr="00274B5D" w14:paraId="464FC4A3" w14:textId="77777777" w:rsidTr="00274B5D">
        <w:trPr>
          <w:trHeight w:val="225"/>
        </w:trPr>
        <w:tc>
          <w:tcPr>
            <w:tcW w:w="4880" w:type="dxa"/>
            <w:tcBorders>
              <w:top w:val="nil"/>
              <w:left w:val="nil"/>
              <w:bottom w:val="nil"/>
              <w:right w:val="nil"/>
            </w:tcBorders>
            <w:shd w:val="clear" w:color="auto" w:fill="auto"/>
            <w:noWrap/>
            <w:vAlign w:val="bottom"/>
            <w:hideMark/>
          </w:tcPr>
          <w:p w14:paraId="7DFA4A05" w14:textId="77777777" w:rsidR="00274B5D" w:rsidRPr="00274B5D" w:rsidRDefault="00274B5D" w:rsidP="00274B5D">
            <w:pPr>
              <w:spacing w:line="240" w:lineRule="auto"/>
              <w:ind w:firstLine="0"/>
              <w:jc w:val="left"/>
              <w:rPr>
                <w:rFonts w:cs="Arial"/>
                <w:sz w:val="16"/>
                <w:szCs w:val="16"/>
              </w:rPr>
            </w:pPr>
            <w:r w:rsidRPr="00274B5D">
              <w:rPr>
                <w:rFonts w:cs="Arial"/>
                <w:sz w:val="16"/>
                <w:szCs w:val="16"/>
              </w:rPr>
              <w:t>Delitti dei pubblici ufficiali contro la pubblica amministrazione</w:t>
            </w:r>
          </w:p>
        </w:tc>
        <w:tc>
          <w:tcPr>
            <w:tcW w:w="600" w:type="dxa"/>
            <w:tcBorders>
              <w:top w:val="nil"/>
              <w:left w:val="nil"/>
              <w:bottom w:val="nil"/>
              <w:right w:val="nil"/>
            </w:tcBorders>
            <w:shd w:val="clear" w:color="auto" w:fill="auto"/>
            <w:noWrap/>
            <w:vAlign w:val="bottom"/>
            <w:hideMark/>
          </w:tcPr>
          <w:p w14:paraId="05F69F40"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172</w:t>
            </w:r>
          </w:p>
        </w:tc>
        <w:tc>
          <w:tcPr>
            <w:tcW w:w="600" w:type="dxa"/>
            <w:tcBorders>
              <w:top w:val="nil"/>
              <w:left w:val="nil"/>
              <w:bottom w:val="nil"/>
              <w:right w:val="nil"/>
            </w:tcBorders>
            <w:shd w:val="clear" w:color="auto" w:fill="auto"/>
            <w:noWrap/>
            <w:vAlign w:val="bottom"/>
            <w:hideMark/>
          </w:tcPr>
          <w:p w14:paraId="6148106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151</w:t>
            </w:r>
          </w:p>
        </w:tc>
        <w:tc>
          <w:tcPr>
            <w:tcW w:w="600" w:type="dxa"/>
            <w:tcBorders>
              <w:top w:val="nil"/>
              <w:left w:val="nil"/>
              <w:bottom w:val="nil"/>
              <w:right w:val="nil"/>
            </w:tcBorders>
            <w:shd w:val="clear" w:color="auto" w:fill="auto"/>
            <w:noWrap/>
            <w:vAlign w:val="bottom"/>
            <w:hideMark/>
          </w:tcPr>
          <w:p w14:paraId="24AAE59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114</w:t>
            </w:r>
          </w:p>
        </w:tc>
        <w:tc>
          <w:tcPr>
            <w:tcW w:w="600" w:type="dxa"/>
            <w:tcBorders>
              <w:top w:val="nil"/>
              <w:left w:val="nil"/>
              <w:bottom w:val="nil"/>
              <w:right w:val="nil"/>
            </w:tcBorders>
            <w:shd w:val="clear" w:color="auto" w:fill="auto"/>
            <w:noWrap/>
            <w:vAlign w:val="bottom"/>
            <w:hideMark/>
          </w:tcPr>
          <w:p w14:paraId="4B3689F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143</w:t>
            </w:r>
          </w:p>
        </w:tc>
        <w:tc>
          <w:tcPr>
            <w:tcW w:w="600" w:type="dxa"/>
            <w:tcBorders>
              <w:top w:val="nil"/>
              <w:left w:val="nil"/>
              <w:bottom w:val="nil"/>
              <w:right w:val="nil"/>
            </w:tcBorders>
            <w:shd w:val="clear" w:color="auto" w:fill="auto"/>
            <w:noWrap/>
            <w:vAlign w:val="bottom"/>
            <w:hideMark/>
          </w:tcPr>
          <w:p w14:paraId="0658178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145</w:t>
            </w:r>
          </w:p>
        </w:tc>
        <w:tc>
          <w:tcPr>
            <w:tcW w:w="600" w:type="dxa"/>
            <w:tcBorders>
              <w:top w:val="nil"/>
              <w:left w:val="nil"/>
              <w:bottom w:val="nil"/>
              <w:right w:val="nil"/>
            </w:tcBorders>
            <w:shd w:val="clear" w:color="auto" w:fill="auto"/>
            <w:noWrap/>
            <w:vAlign w:val="bottom"/>
            <w:hideMark/>
          </w:tcPr>
          <w:p w14:paraId="7C8BA2D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124</w:t>
            </w:r>
          </w:p>
        </w:tc>
        <w:tc>
          <w:tcPr>
            <w:tcW w:w="600" w:type="dxa"/>
            <w:tcBorders>
              <w:top w:val="nil"/>
              <w:left w:val="nil"/>
              <w:bottom w:val="nil"/>
              <w:right w:val="nil"/>
            </w:tcBorders>
            <w:shd w:val="clear" w:color="auto" w:fill="auto"/>
            <w:noWrap/>
            <w:vAlign w:val="bottom"/>
            <w:hideMark/>
          </w:tcPr>
          <w:p w14:paraId="13F2AAD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100</w:t>
            </w:r>
          </w:p>
        </w:tc>
        <w:tc>
          <w:tcPr>
            <w:tcW w:w="600" w:type="dxa"/>
            <w:tcBorders>
              <w:top w:val="nil"/>
              <w:left w:val="nil"/>
              <w:bottom w:val="nil"/>
              <w:right w:val="nil"/>
            </w:tcBorders>
            <w:shd w:val="clear" w:color="auto" w:fill="auto"/>
            <w:noWrap/>
            <w:vAlign w:val="bottom"/>
            <w:hideMark/>
          </w:tcPr>
          <w:p w14:paraId="5F90851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949</w:t>
            </w:r>
          </w:p>
        </w:tc>
      </w:tr>
      <w:tr w:rsidR="00274B5D" w:rsidRPr="00274B5D" w14:paraId="2DA821A3" w14:textId="77777777" w:rsidTr="00274B5D">
        <w:trPr>
          <w:trHeight w:val="225"/>
        </w:trPr>
        <w:tc>
          <w:tcPr>
            <w:tcW w:w="4880" w:type="dxa"/>
            <w:tcBorders>
              <w:top w:val="nil"/>
              <w:left w:val="nil"/>
              <w:bottom w:val="nil"/>
              <w:right w:val="nil"/>
            </w:tcBorders>
            <w:shd w:val="clear" w:color="auto" w:fill="auto"/>
            <w:noWrap/>
            <w:vAlign w:val="bottom"/>
            <w:hideMark/>
          </w:tcPr>
          <w:p w14:paraId="7D377AE7"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 xml:space="preserve">di cui: </w:t>
            </w:r>
          </w:p>
        </w:tc>
        <w:tc>
          <w:tcPr>
            <w:tcW w:w="600" w:type="dxa"/>
            <w:tcBorders>
              <w:top w:val="nil"/>
              <w:left w:val="nil"/>
              <w:bottom w:val="nil"/>
              <w:right w:val="nil"/>
            </w:tcBorders>
            <w:shd w:val="clear" w:color="auto" w:fill="auto"/>
            <w:noWrap/>
            <w:vAlign w:val="bottom"/>
            <w:hideMark/>
          </w:tcPr>
          <w:p w14:paraId="5472DA04" w14:textId="77777777" w:rsidR="00274B5D" w:rsidRPr="00274B5D" w:rsidRDefault="00274B5D" w:rsidP="00274B5D">
            <w:pPr>
              <w:spacing w:line="240" w:lineRule="auto"/>
              <w:ind w:firstLineChars="400" w:firstLine="640"/>
              <w:jc w:val="left"/>
              <w:rPr>
                <w:rFonts w:cs="Arial"/>
                <w:sz w:val="16"/>
                <w:szCs w:val="16"/>
              </w:rPr>
            </w:pPr>
          </w:p>
        </w:tc>
        <w:tc>
          <w:tcPr>
            <w:tcW w:w="600" w:type="dxa"/>
            <w:tcBorders>
              <w:top w:val="nil"/>
              <w:left w:val="nil"/>
              <w:bottom w:val="nil"/>
              <w:right w:val="nil"/>
            </w:tcBorders>
            <w:shd w:val="clear" w:color="auto" w:fill="auto"/>
            <w:noWrap/>
            <w:vAlign w:val="bottom"/>
            <w:hideMark/>
          </w:tcPr>
          <w:p w14:paraId="5522AD15"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2E56F278"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58A0B863"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28CEA328"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1A55EC4E"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6D573DB5" w14:textId="77777777" w:rsidR="00274B5D" w:rsidRPr="00274B5D" w:rsidRDefault="00274B5D" w:rsidP="00274B5D">
            <w:pPr>
              <w:spacing w:line="240" w:lineRule="auto"/>
              <w:ind w:firstLine="0"/>
              <w:jc w:val="right"/>
              <w:rPr>
                <w:rFonts w:ascii="Times New Roman" w:hAnsi="Times New Roman"/>
              </w:rPr>
            </w:pPr>
          </w:p>
        </w:tc>
        <w:tc>
          <w:tcPr>
            <w:tcW w:w="600" w:type="dxa"/>
            <w:tcBorders>
              <w:top w:val="nil"/>
              <w:left w:val="nil"/>
              <w:bottom w:val="nil"/>
              <w:right w:val="nil"/>
            </w:tcBorders>
            <w:shd w:val="clear" w:color="auto" w:fill="auto"/>
            <w:noWrap/>
            <w:vAlign w:val="bottom"/>
            <w:hideMark/>
          </w:tcPr>
          <w:p w14:paraId="46E72CA2" w14:textId="77777777" w:rsidR="00274B5D" w:rsidRPr="00274B5D" w:rsidRDefault="00274B5D" w:rsidP="00274B5D">
            <w:pPr>
              <w:spacing w:line="240" w:lineRule="auto"/>
              <w:ind w:firstLine="0"/>
              <w:jc w:val="right"/>
              <w:rPr>
                <w:rFonts w:ascii="Times New Roman" w:hAnsi="Times New Roman"/>
              </w:rPr>
            </w:pPr>
          </w:p>
        </w:tc>
      </w:tr>
      <w:tr w:rsidR="00274B5D" w:rsidRPr="00274B5D" w14:paraId="552804D7" w14:textId="77777777" w:rsidTr="00274B5D">
        <w:trPr>
          <w:trHeight w:val="225"/>
        </w:trPr>
        <w:tc>
          <w:tcPr>
            <w:tcW w:w="4880" w:type="dxa"/>
            <w:tcBorders>
              <w:top w:val="nil"/>
              <w:left w:val="nil"/>
              <w:bottom w:val="nil"/>
              <w:right w:val="nil"/>
            </w:tcBorders>
            <w:shd w:val="clear" w:color="auto" w:fill="auto"/>
            <w:noWrap/>
            <w:vAlign w:val="bottom"/>
            <w:hideMark/>
          </w:tcPr>
          <w:p w14:paraId="261F3B70"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peculato</w:t>
            </w:r>
          </w:p>
        </w:tc>
        <w:tc>
          <w:tcPr>
            <w:tcW w:w="600" w:type="dxa"/>
            <w:tcBorders>
              <w:top w:val="nil"/>
              <w:left w:val="nil"/>
              <w:bottom w:val="nil"/>
              <w:right w:val="nil"/>
            </w:tcBorders>
            <w:shd w:val="clear" w:color="auto" w:fill="auto"/>
            <w:noWrap/>
            <w:vAlign w:val="bottom"/>
            <w:hideMark/>
          </w:tcPr>
          <w:p w14:paraId="17380DA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16</w:t>
            </w:r>
          </w:p>
        </w:tc>
        <w:tc>
          <w:tcPr>
            <w:tcW w:w="600" w:type="dxa"/>
            <w:tcBorders>
              <w:top w:val="nil"/>
              <w:left w:val="nil"/>
              <w:bottom w:val="nil"/>
              <w:right w:val="nil"/>
            </w:tcBorders>
            <w:shd w:val="clear" w:color="auto" w:fill="auto"/>
            <w:noWrap/>
            <w:vAlign w:val="bottom"/>
            <w:hideMark/>
          </w:tcPr>
          <w:p w14:paraId="5C6FC070"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31</w:t>
            </w:r>
          </w:p>
        </w:tc>
        <w:tc>
          <w:tcPr>
            <w:tcW w:w="600" w:type="dxa"/>
            <w:tcBorders>
              <w:top w:val="nil"/>
              <w:left w:val="nil"/>
              <w:bottom w:val="nil"/>
              <w:right w:val="nil"/>
            </w:tcBorders>
            <w:shd w:val="clear" w:color="auto" w:fill="auto"/>
            <w:noWrap/>
            <w:vAlign w:val="bottom"/>
            <w:hideMark/>
          </w:tcPr>
          <w:p w14:paraId="4636788E"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20</w:t>
            </w:r>
          </w:p>
        </w:tc>
        <w:tc>
          <w:tcPr>
            <w:tcW w:w="600" w:type="dxa"/>
            <w:tcBorders>
              <w:top w:val="nil"/>
              <w:left w:val="nil"/>
              <w:bottom w:val="nil"/>
              <w:right w:val="nil"/>
            </w:tcBorders>
            <w:shd w:val="clear" w:color="auto" w:fill="auto"/>
            <w:noWrap/>
            <w:vAlign w:val="bottom"/>
            <w:hideMark/>
          </w:tcPr>
          <w:p w14:paraId="32BBC0B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19</w:t>
            </w:r>
          </w:p>
        </w:tc>
        <w:tc>
          <w:tcPr>
            <w:tcW w:w="600" w:type="dxa"/>
            <w:tcBorders>
              <w:top w:val="nil"/>
              <w:left w:val="nil"/>
              <w:bottom w:val="nil"/>
              <w:right w:val="nil"/>
            </w:tcBorders>
            <w:shd w:val="clear" w:color="auto" w:fill="auto"/>
            <w:noWrap/>
            <w:vAlign w:val="bottom"/>
            <w:hideMark/>
          </w:tcPr>
          <w:p w14:paraId="67DC2FB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21</w:t>
            </w:r>
          </w:p>
        </w:tc>
        <w:tc>
          <w:tcPr>
            <w:tcW w:w="600" w:type="dxa"/>
            <w:tcBorders>
              <w:top w:val="nil"/>
              <w:left w:val="nil"/>
              <w:bottom w:val="nil"/>
              <w:right w:val="nil"/>
            </w:tcBorders>
            <w:shd w:val="clear" w:color="auto" w:fill="auto"/>
            <w:noWrap/>
            <w:vAlign w:val="bottom"/>
            <w:hideMark/>
          </w:tcPr>
          <w:p w14:paraId="051FBBD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30</w:t>
            </w:r>
          </w:p>
        </w:tc>
        <w:tc>
          <w:tcPr>
            <w:tcW w:w="600" w:type="dxa"/>
            <w:tcBorders>
              <w:top w:val="nil"/>
              <w:left w:val="nil"/>
              <w:bottom w:val="nil"/>
              <w:right w:val="nil"/>
            </w:tcBorders>
            <w:shd w:val="clear" w:color="auto" w:fill="auto"/>
            <w:noWrap/>
            <w:vAlign w:val="bottom"/>
            <w:hideMark/>
          </w:tcPr>
          <w:p w14:paraId="2D76666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22</w:t>
            </w:r>
          </w:p>
        </w:tc>
        <w:tc>
          <w:tcPr>
            <w:tcW w:w="600" w:type="dxa"/>
            <w:tcBorders>
              <w:top w:val="nil"/>
              <w:left w:val="nil"/>
              <w:bottom w:val="nil"/>
              <w:right w:val="nil"/>
            </w:tcBorders>
            <w:shd w:val="clear" w:color="auto" w:fill="auto"/>
            <w:noWrap/>
            <w:vAlign w:val="bottom"/>
            <w:hideMark/>
          </w:tcPr>
          <w:p w14:paraId="3243267B"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159</w:t>
            </w:r>
          </w:p>
        </w:tc>
      </w:tr>
      <w:tr w:rsidR="00274B5D" w:rsidRPr="00274B5D" w14:paraId="28BF5946" w14:textId="77777777" w:rsidTr="00274B5D">
        <w:trPr>
          <w:trHeight w:val="225"/>
        </w:trPr>
        <w:tc>
          <w:tcPr>
            <w:tcW w:w="4880" w:type="dxa"/>
            <w:tcBorders>
              <w:top w:val="nil"/>
              <w:left w:val="nil"/>
              <w:bottom w:val="nil"/>
              <w:right w:val="nil"/>
            </w:tcBorders>
            <w:shd w:val="clear" w:color="auto" w:fill="auto"/>
            <w:noWrap/>
            <w:vAlign w:val="bottom"/>
            <w:hideMark/>
          </w:tcPr>
          <w:p w14:paraId="7B4E82DE"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malversazione</w:t>
            </w:r>
          </w:p>
        </w:tc>
        <w:tc>
          <w:tcPr>
            <w:tcW w:w="600" w:type="dxa"/>
            <w:tcBorders>
              <w:top w:val="nil"/>
              <w:left w:val="nil"/>
              <w:bottom w:val="nil"/>
              <w:right w:val="nil"/>
            </w:tcBorders>
            <w:shd w:val="clear" w:color="auto" w:fill="auto"/>
            <w:noWrap/>
            <w:vAlign w:val="bottom"/>
            <w:hideMark/>
          </w:tcPr>
          <w:p w14:paraId="0DFF8BE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w:t>
            </w:r>
          </w:p>
        </w:tc>
        <w:tc>
          <w:tcPr>
            <w:tcW w:w="600" w:type="dxa"/>
            <w:tcBorders>
              <w:top w:val="nil"/>
              <w:left w:val="nil"/>
              <w:bottom w:val="nil"/>
              <w:right w:val="nil"/>
            </w:tcBorders>
            <w:shd w:val="clear" w:color="auto" w:fill="auto"/>
            <w:noWrap/>
            <w:vAlign w:val="bottom"/>
            <w:hideMark/>
          </w:tcPr>
          <w:p w14:paraId="1FA66C7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0</w:t>
            </w:r>
          </w:p>
        </w:tc>
        <w:tc>
          <w:tcPr>
            <w:tcW w:w="600" w:type="dxa"/>
            <w:tcBorders>
              <w:top w:val="nil"/>
              <w:left w:val="nil"/>
              <w:bottom w:val="nil"/>
              <w:right w:val="nil"/>
            </w:tcBorders>
            <w:shd w:val="clear" w:color="auto" w:fill="auto"/>
            <w:noWrap/>
            <w:vAlign w:val="bottom"/>
            <w:hideMark/>
          </w:tcPr>
          <w:p w14:paraId="4E9AF0E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0</w:t>
            </w:r>
          </w:p>
        </w:tc>
        <w:tc>
          <w:tcPr>
            <w:tcW w:w="600" w:type="dxa"/>
            <w:tcBorders>
              <w:top w:val="nil"/>
              <w:left w:val="nil"/>
              <w:bottom w:val="nil"/>
              <w:right w:val="nil"/>
            </w:tcBorders>
            <w:shd w:val="clear" w:color="auto" w:fill="auto"/>
            <w:noWrap/>
            <w:vAlign w:val="bottom"/>
            <w:hideMark/>
          </w:tcPr>
          <w:p w14:paraId="2917F308"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w:t>
            </w:r>
          </w:p>
        </w:tc>
        <w:tc>
          <w:tcPr>
            <w:tcW w:w="600" w:type="dxa"/>
            <w:tcBorders>
              <w:top w:val="nil"/>
              <w:left w:val="nil"/>
              <w:bottom w:val="nil"/>
              <w:right w:val="nil"/>
            </w:tcBorders>
            <w:shd w:val="clear" w:color="auto" w:fill="auto"/>
            <w:noWrap/>
            <w:vAlign w:val="bottom"/>
            <w:hideMark/>
          </w:tcPr>
          <w:p w14:paraId="16D3471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w:t>
            </w:r>
          </w:p>
        </w:tc>
        <w:tc>
          <w:tcPr>
            <w:tcW w:w="600" w:type="dxa"/>
            <w:tcBorders>
              <w:top w:val="nil"/>
              <w:left w:val="nil"/>
              <w:bottom w:val="nil"/>
              <w:right w:val="nil"/>
            </w:tcBorders>
            <w:shd w:val="clear" w:color="auto" w:fill="auto"/>
            <w:noWrap/>
            <w:vAlign w:val="bottom"/>
            <w:hideMark/>
          </w:tcPr>
          <w:p w14:paraId="425ACDE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w:t>
            </w:r>
          </w:p>
        </w:tc>
        <w:tc>
          <w:tcPr>
            <w:tcW w:w="600" w:type="dxa"/>
            <w:tcBorders>
              <w:top w:val="nil"/>
              <w:left w:val="nil"/>
              <w:bottom w:val="nil"/>
              <w:right w:val="nil"/>
            </w:tcBorders>
            <w:shd w:val="clear" w:color="auto" w:fill="auto"/>
            <w:noWrap/>
            <w:vAlign w:val="bottom"/>
            <w:hideMark/>
          </w:tcPr>
          <w:p w14:paraId="309A695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4</w:t>
            </w:r>
          </w:p>
        </w:tc>
        <w:tc>
          <w:tcPr>
            <w:tcW w:w="600" w:type="dxa"/>
            <w:tcBorders>
              <w:top w:val="nil"/>
              <w:left w:val="nil"/>
              <w:bottom w:val="nil"/>
              <w:right w:val="nil"/>
            </w:tcBorders>
            <w:shd w:val="clear" w:color="auto" w:fill="auto"/>
            <w:noWrap/>
            <w:vAlign w:val="bottom"/>
            <w:hideMark/>
          </w:tcPr>
          <w:p w14:paraId="2EC7241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16</w:t>
            </w:r>
          </w:p>
        </w:tc>
      </w:tr>
      <w:tr w:rsidR="00274B5D" w:rsidRPr="00274B5D" w14:paraId="37B732DE" w14:textId="77777777" w:rsidTr="00274B5D">
        <w:trPr>
          <w:trHeight w:val="225"/>
        </w:trPr>
        <w:tc>
          <w:tcPr>
            <w:tcW w:w="4880" w:type="dxa"/>
            <w:tcBorders>
              <w:top w:val="nil"/>
              <w:left w:val="nil"/>
              <w:bottom w:val="nil"/>
              <w:right w:val="nil"/>
            </w:tcBorders>
            <w:shd w:val="clear" w:color="auto" w:fill="auto"/>
            <w:noWrap/>
            <w:vAlign w:val="bottom"/>
            <w:hideMark/>
          </w:tcPr>
          <w:p w14:paraId="4FD095A4"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concussione</w:t>
            </w:r>
          </w:p>
        </w:tc>
        <w:tc>
          <w:tcPr>
            <w:tcW w:w="600" w:type="dxa"/>
            <w:tcBorders>
              <w:top w:val="nil"/>
              <w:left w:val="nil"/>
              <w:bottom w:val="nil"/>
              <w:right w:val="nil"/>
            </w:tcBorders>
            <w:shd w:val="clear" w:color="auto" w:fill="auto"/>
            <w:noWrap/>
            <w:vAlign w:val="bottom"/>
            <w:hideMark/>
          </w:tcPr>
          <w:p w14:paraId="10098BCC"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12</w:t>
            </w:r>
          </w:p>
        </w:tc>
        <w:tc>
          <w:tcPr>
            <w:tcW w:w="600" w:type="dxa"/>
            <w:tcBorders>
              <w:top w:val="nil"/>
              <w:left w:val="nil"/>
              <w:bottom w:val="nil"/>
              <w:right w:val="nil"/>
            </w:tcBorders>
            <w:shd w:val="clear" w:color="auto" w:fill="auto"/>
            <w:noWrap/>
            <w:vAlign w:val="bottom"/>
            <w:hideMark/>
          </w:tcPr>
          <w:p w14:paraId="5944D511"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w:t>
            </w:r>
          </w:p>
        </w:tc>
        <w:tc>
          <w:tcPr>
            <w:tcW w:w="600" w:type="dxa"/>
            <w:tcBorders>
              <w:top w:val="nil"/>
              <w:left w:val="nil"/>
              <w:bottom w:val="nil"/>
              <w:right w:val="nil"/>
            </w:tcBorders>
            <w:shd w:val="clear" w:color="auto" w:fill="auto"/>
            <w:noWrap/>
            <w:vAlign w:val="bottom"/>
            <w:hideMark/>
          </w:tcPr>
          <w:p w14:paraId="40AEE3B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w:t>
            </w:r>
          </w:p>
        </w:tc>
        <w:tc>
          <w:tcPr>
            <w:tcW w:w="600" w:type="dxa"/>
            <w:tcBorders>
              <w:top w:val="nil"/>
              <w:left w:val="nil"/>
              <w:bottom w:val="nil"/>
              <w:right w:val="nil"/>
            </w:tcBorders>
            <w:shd w:val="clear" w:color="auto" w:fill="auto"/>
            <w:noWrap/>
            <w:vAlign w:val="bottom"/>
            <w:hideMark/>
          </w:tcPr>
          <w:p w14:paraId="1062A49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6</w:t>
            </w:r>
          </w:p>
        </w:tc>
        <w:tc>
          <w:tcPr>
            <w:tcW w:w="600" w:type="dxa"/>
            <w:tcBorders>
              <w:top w:val="nil"/>
              <w:left w:val="nil"/>
              <w:bottom w:val="nil"/>
              <w:right w:val="nil"/>
            </w:tcBorders>
            <w:shd w:val="clear" w:color="auto" w:fill="auto"/>
            <w:noWrap/>
            <w:vAlign w:val="bottom"/>
            <w:hideMark/>
          </w:tcPr>
          <w:p w14:paraId="33512F24"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w:t>
            </w:r>
          </w:p>
        </w:tc>
        <w:tc>
          <w:tcPr>
            <w:tcW w:w="600" w:type="dxa"/>
            <w:tcBorders>
              <w:top w:val="nil"/>
              <w:left w:val="nil"/>
              <w:bottom w:val="nil"/>
              <w:right w:val="nil"/>
            </w:tcBorders>
            <w:shd w:val="clear" w:color="auto" w:fill="auto"/>
            <w:noWrap/>
            <w:vAlign w:val="bottom"/>
            <w:hideMark/>
          </w:tcPr>
          <w:p w14:paraId="4C8A3C5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nil"/>
              <w:right w:val="nil"/>
            </w:tcBorders>
            <w:shd w:val="clear" w:color="auto" w:fill="auto"/>
            <w:noWrap/>
            <w:vAlign w:val="bottom"/>
            <w:hideMark/>
          </w:tcPr>
          <w:p w14:paraId="6E399B4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3</w:t>
            </w:r>
          </w:p>
        </w:tc>
        <w:tc>
          <w:tcPr>
            <w:tcW w:w="600" w:type="dxa"/>
            <w:tcBorders>
              <w:top w:val="nil"/>
              <w:left w:val="nil"/>
              <w:bottom w:val="nil"/>
              <w:right w:val="nil"/>
            </w:tcBorders>
            <w:shd w:val="clear" w:color="auto" w:fill="auto"/>
            <w:noWrap/>
            <w:vAlign w:val="bottom"/>
            <w:hideMark/>
          </w:tcPr>
          <w:p w14:paraId="33073CE0"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54</w:t>
            </w:r>
          </w:p>
        </w:tc>
      </w:tr>
      <w:tr w:rsidR="00274B5D" w:rsidRPr="00274B5D" w14:paraId="5837FB0A" w14:textId="77777777" w:rsidTr="00274B5D">
        <w:trPr>
          <w:trHeight w:val="225"/>
        </w:trPr>
        <w:tc>
          <w:tcPr>
            <w:tcW w:w="4880" w:type="dxa"/>
            <w:tcBorders>
              <w:top w:val="nil"/>
              <w:left w:val="nil"/>
              <w:bottom w:val="single" w:sz="4" w:space="0" w:color="auto"/>
              <w:right w:val="nil"/>
            </w:tcBorders>
            <w:shd w:val="clear" w:color="auto" w:fill="auto"/>
            <w:noWrap/>
            <w:vAlign w:val="bottom"/>
            <w:hideMark/>
          </w:tcPr>
          <w:p w14:paraId="0A275228" w14:textId="77777777" w:rsidR="00274B5D" w:rsidRPr="00274B5D" w:rsidRDefault="00274B5D" w:rsidP="00274B5D">
            <w:pPr>
              <w:spacing w:line="240" w:lineRule="auto"/>
              <w:ind w:firstLineChars="400" w:firstLine="640"/>
              <w:jc w:val="left"/>
              <w:rPr>
                <w:rFonts w:cs="Arial"/>
                <w:sz w:val="16"/>
                <w:szCs w:val="16"/>
              </w:rPr>
            </w:pPr>
            <w:r w:rsidRPr="00274B5D">
              <w:rPr>
                <w:rFonts w:cs="Arial"/>
                <w:sz w:val="16"/>
                <w:szCs w:val="16"/>
              </w:rPr>
              <w:t>delitti di corruzione</w:t>
            </w:r>
          </w:p>
        </w:tc>
        <w:tc>
          <w:tcPr>
            <w:tcW w:w="600" w:type="dxa"/>
            <w:tcBorders>
              <w:top w:val="nil"/>
              <w:left w:val="nil"/>
              <w:bottom w:val="single" w:sz="4" w:space="0" w:color="auto"/>
              <w:right w:val="nil"/>
            </w:tcBorders>
            <w:shd w:val="clear" w:color="auto" w:fill="auto"/>
            <w:noWrap/>
            <w:vAlign w:val="bottom"/>
            <w:hideMark/>
          </w:tcPr>
          <w:p w14:paraId="21878467"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single" w:sz="4" w:space="0" w:color="auto"/>
              <w:right w:val="nil"/>
            </w:tcBorders>
            <w:shd w:val="clear" w:color="auto" w:fill="auto"/>
            <w:noWrap/>
            <w:vAlign w:val="bottom"/>
            <w:hideMark/>
          </w:tcPr>
          <w:p w14:paraId="66EF1BE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single" w:sz="4" w:space="0" w:color="auto"/>
              <w:right w:val="nil"/>
            </w:tcBorders>
            <w:shd w:val="clear" w:color="auto" w:fill="auto"/>
            <w:noWrap/>
            <w:vAlign w:val="bottom"/>
            <w:hideMark/>
          </w:tcPr>
          <w:p w14:paraId="7E0EB832"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13</w:t>
            </w:r>
          </w:p>
        </w:tc>
        <w:tc>
          <w:tcPr>
            <w:tcW w:w="600" w:type="dxa"/>
            <w:tcBorders>
              <w:top w:val="nil"/>
              <w:left w:val="nil"/>
              <w:bottom w:val="single" w:sz="4" w:space="0" w:color="auto"/>
              <w:right w:val="nil"/>
            </w:tcBorders>
            <w:shd w:val="clear" w:color="auto" w:fill="auto"/>
            <w:noWrap/>
            <w:vAlign w:val="bottom"/>
            <w:hideMark/>
          </w:tcPr>
          <w:p w14:paraId="15BD4E5A"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18</w:t>
            </w:r>
          </w:p>
        </w:tc>
        <w:tc>
          <w:tcPr>
            <w:tcW w:w="600" w:type="dxa"/>
            <w:tcBorders>
              <w:top w:val="nil"/>
              <w:left w:val="nil"/>
              <w:bottom w:val="single" w:sz="4" w:space="0" w:color="auto"/>
              <w:right w:val="nil"/>
            </w:tcBorders>
            <w:shd w:val="clear" w:color="auto" w:fill="auto"/>
            <w:noWrap/>
            <w:vAlign w:val="bottom"/>
            <w:hideMark/>
          </w:tcPr>
          <w:p w14:paraId="1A7393A9"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w:t>
            </w:r>
          </w:p>
        </w:tc>
        <w:tc>
          <w:tcPr>
            <w:tcW w:w="600" w:type="dxa"/>
            <w:tcBorders>
              <w:top w:val="nil"/>
              <w:left w:val="nil"/>
              <w:bottom w:val="single" w:sz="4" w:space="0" w:color="auto"/>
              <w:right w:val="nil"/>
            </w:tcBorders>
            <w:shd w:val="clear" w:color="auto" w:fill="auto"/>
            <w:noWrap/>
            <w:vAlign w:val="bottom"/>
            <w:hideMark/>
          </w:tcPr>
          <w:p w14:paraId="5EF48060"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8</w:t>
            </w:r>
          </w:p>
        </w:tc>
        <w:tc>
          <w:tcPr>
            <w:tcW w:w="600" w:type="dxa"/>
            <w:tcBorders>
              <w:top w:val="nil"/>
              <w:left w:val="nil"/>
              <w:bottom w:val="single" w:sz="4" w:space="0" w:color="auto"/>
              <w:right w:val="nil"/>
            </w:tcBorders>
            <w:shd w:val="clear" w:color="auto" w:fill="auto"/>
            <w:noWrap/>
            <w:vAlign w:val="bottom"/>
            <w:hideMark/>
          </w:tcPr>
          <w:p w14:paraId="64EDD5BD"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19</w:t>
            </w:r>
          </w:p>
        </w:tc>
        <w:tc>
          <w:tcPr>
            <w:tcW w:w="600" w:type="dxa"/>
            <w:tcBorders>
              <w:top w:val="nil"/>
              <w:left w:val="nil"/>
              <w:bottom w:val="single" w:sz="4" w:space="0" w:color="auto"/>
              <w:right w:val="nil"/>
            </w:tcBorders>
            <w:shd w:val="clear" w:color="auto" w:fill="auto"/>
            <w:noWrap/>
            <w:vAlign w:val="bottom"/>
            <w:hideMark/>
          </w:tcPr>
          <w:p w14:paraId="132D9EF6" w14:textId="77777777" w:rsidR="00274B5D" w:rsidRPr="00274B5D" w:rsidRDefault="00274B5D" w:rsidP="00274B5D">
            <w:pPr>
              <w:spacing w:line="240" w:lineRule="auto"/>
              <w:ind w:firstLine="0"/>
              <w:jc w:val="right"/>
              <w:rPr>
                <w:rFonts w:cs="Arial"/>
                <w:sz w:val="16"/>
                <w:szCs w:val="16"/>
              </w:rPr>
            </w:pPr>
            <w:r w:rsidRPr="00274B5D">
              <w:rPr>
                <w:rFonts w:cs="Arial"/>
                <w:sz w:val="16"/>
                <w:szCs w:val="16"/>
              </w:rPr>
              <w:t>93</w:t>
            </w:r>
          </w:p>
        </w:tc>
      </w:tr>
    </w:tbl>
    <w:p w14:paraId="6FB50AE0" w14:textId="0F6F3887" w:rsidR="00274B5D" w:rsidRDefault="00274B5D" w:rsidP="007742B5">
      <w:pPr>
        <w:spacing w:line="276" w:lineRule="auto"/>
        <w:ind w:firstLine="0"/>
        <w:rPr>
          <w:rFonts w:eastAsiaTheme="minorHAnsi" w:cs="Arial"/>
          <w:b/>
          <w:bCs/>
          <w:lang w:eastAsia="en-US"/>
        </w:rPr>
      </w:pPr>
    </w:p>
    <w:p w14:paraId="73291E6A" w14:textId="77777777" w:rsidR="00285BB4" w:rsidRPr="00646046" w:rsidRDefault="00285BB4" w:rsidP="009B6866">
      <w:pPr>
        <w:spacing w:line="276" w:lineRule="auto"/>
        <w:ind w:firstLine="0"/>
        <w:rPr>
          <w:rFonts w:eastAsiaTheme="minorHAnsi" w:cs="Arial"/>
          <w:sz w:val="24"/>
          <w:szCs w:val="24"/>
          <w:lang w:eastAsia="en-US"/>
        </w:rPr>
      </w:pPr>
    </w:p>
    <w:p w14:paraId="3C360B52" w14:textId="77777777" w:rsidR="009B6866" w:rsidRPr="00646046" w:rsidRDefault="009B6866" w:rsidP="009B6866">
      <w:pPr>
        <w:spacing w:line="276" w:lineRule="auto"/>
        <w:ind w:firstLine="0"/>
        <w:rPr>
          <w:rFonts w:eastAsiaTheme="minorHAnsi" w:cs="Arial"/>
          <w:b/>
          <w:sz w:val="24"/>
          <w:szCs w:val="24"/>
          <w:lang w:eastAsia="en-US"/>
        </w:rPr>
      </w:pPr>
      <w:r w:rsidRPr="00646046">
        <w:rPr>
          <w:rFonts w:eastAsiaTheme="minorHAnsi" w:cs="Arial"/>
          <w:b/>
          <w:sz w:val="24"/>
          <w:szCs w:val="24"/>
          <w:lang w:eastAsia="en-US"/>
        </w:rPr>
        <w:t>Fonti:</w:t>
      </w:r>
    </w:p>
    <w:p w14:paraId="005D0F13" w14:textId="77777777" w:rsidR="009B6866" w:rsidRDefault="009B6866" w:rsidP="009B6866">
      <w:pPr>
        <w:spacing w:before="240" w:line="276" w:lineRule="auto"/>
        <w:ind w:firstLine="0"/>
        <w:contextualSpacing/>
        <w:jc w:val="left"/>
        <w:rPr>
          <w:rFonts w:eastAsiaTheme="minorHAnsi" w:cs="Arial"/>
          <w:b/>
          <w:i/>
          <w:sz w:val="22"/>
          <w:szCs w:val="22"/>
          <w:lang w:eastAsia="en-US"/>
        </w:rPr>
      </w:pPr>
    </w:p>
    <w:p w14:paraId="0D180DEB" w14:textId="77777777" w:rsidR="009B6866" w:rsidRPr="00646046" w:rsidRDefault="009B6866" w:rsidP="009B6866">
      <w:pPr>
        <w:spacing w:before="240" w:line="276" w:lineRule="auto"/>
        <w:ind w:firstLine="0"/>
        <w:contextualSpacing/>
        <w:jc w:val="left"/>
        <w:rPr>
          <w:rFonts w:eastAsiaTheme="minorHAnsi" w:cs="Arial"/>
          <w:b/>
          <w:i/>
          <w:sz w:val="22"/>
          <w:szCs w:val="22"/>
          <w:lang w:eastAsia="en-US"/>
        </w:rPr>
      </w:pPr>
      <w:r w:rsidRPr="00646046">
        <w:rPr>
          <w:rFonts w:eastAsiaTheme="minorHAnsi" w:cs="Arial"/>
          <w:b/>
          <w:i/>
          <w:sz w:val="22"/>
          <w:szCs w:val="22"/>
          <w:lang w:eastAsia="en-US"/>
        </w:rPr>
        <w:t xml:space="preserve">Rivista «QUADERNI DI CITTÀ SICURE», numeri: </w:t>
      </w:r>
    </w:p>
    <w:p w14:paraId="6EDAA4D2" w14:textId="77777777" w:rsidR="009B6866" w:rsidRPr="00646046" w:rsidRDefault="009B6866" w:rsidP="009B6866">
      <w:pPr>
        <w:pStyle w:val="Paragrafoelenco"/>
        <w:numPr>
          <w:ilvl w:val="0"/>
          <w:numId w:val="1"/>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 xml:space="preserve">11b “La sicurezza in Emilia-Romagna. Terzo rapporto annuale” (1997); </w:t>
      </w:r>
    </w:p>
    <w:p w14:paraId="54F1FA33" w14:textId="77777777" w:rsidR="009B6866" w:rsidRPr="00646046" w:rsidRDefault="009B6866" w:rsidP="009B6866">
      <w:pPr>
        <w:pStyle w:val="Paragrafoelenco"/>
        <w:numPr>
          <w:ilvl w:val="0"/>
          <w:numId w:val="1"/>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 xml:space="preserve">29 “Criminalità organizzata e disordine economico in Emilia-Romagna” (2004); </w:t>
      </w:r>
    </w:p>
    <w:p w14:paraId="62185310" w14:textId="77777777" w:rsidR="009B6866" w:rsidRPr="00646046" w:rsidRDefault="009B6866" w:rsidP="009B6866">
      <w:pPr>
        <w:pStyle w:val="Paragrafoelenco"/>
        <w:numPr>
          <w:ilvl w:val="0"/>
          <w:numId w:val="1"/>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39 “I raggruppamenti mafiosi in Emilia-Romagna. Elementi per un quadro di sintesi” (2012), a cura di E. Ciconte;</w:t>
      </w:r>
    </w:p>
    <w:p w14:paraId="5A37732A" w14:textId="77777777" w:rsidR="009B6866" w:rsidRPr="00646046" w:rsidRDefault="009B6866" w:rsidP="009B6866">
      <w:pPr>
        <w:pStyle w:val="Paragrafoelenco"/>
        <w:numPr>
          <w:ilvl w:val="0"/>
          <w:numId w:val="1"/>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41 “Mafie, economia, territori, politica in Emilia-Romagna” (2016), a cura di E. Ciconte;</w:t>
      </w:r>
    </w:p>
    <w:p w14:paraId="1C49F0BF" w14:textId="77777777" w:rsidR="009B6866" w:rsidRPr="00646046" w:rsidRDefault="009B6866" w:rsidP="009B6866">
      <w:pPr>
        <w:pStyle w:val="Paragrafoelenco"/>
        <w:numPr>
          <w:ilvl w:val="0"/>
          <w:numId w:val="1"/>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42 “Mafie, economia, lavoro” (2018), a cura di V. Mete e S. Borelli.</w:t>
      </w:r>
    </w:p>
    <w:p w14:paraId="5BA584BC" w14:textId="77777777" w:rsidR="009B6866" w:rsidRPr="00646046" w:rsidRDefault="009B6866" w:rsidP="009B6866">
      <w:pPr>
        <w:spacing w:before="240" w:line="276" w:lineRule="auto"/>
        <w:ind w:firstLine="0"/>
        <w:contextualSpacing/>
        <w:jc w:val="left"/>
        <w:rPr>
          <w:rFonts w:eastAsiaTheme="minorHAnsi" w:cs="Arial"/>
          <w:b/>
          <w:i/>
          <w:sz w:val="22"/>
          <w:szCs w:val="22"/>
          <w:lang w:eastAsia="en-US"/>
        </w:rPr>
      </w:pPr>
    </w:p>
    <w:p w14:paraId="77E206B9" w14:textId="77777777" w:rsidR="009B6866" w:rsidRPr="00646046" w:rsidRDefault="009B6866" w:rsidP="009B6866">
      <w:pPr>
        <w:spacing w:before="240" w:line="276" w:lineRule="auto"/>
        <w:ind w:firstLine="0"/>
        <w:contextualSpacing/>
        <w:jc w:val="left"/>
        <w:rPr>
          <w:rFonts w:eastAsiaTheme="minorHAnsi" w:cs="Arial"/>
          <w:b/>
          <w:i/>
          <w:sz w:val="22"/>
          <w:szCs w:val="22"/>
          <w:lang w:eastAsia="en-US"/>
        </w:rPr>
      </w:pPr>
      <w:r w:rsidRPr="00646046">
        <w:rPr>
          <w:rFonts w:eastAsiaTheme="minorHAnsi" w:cs="Arial"/>
          <w:b/>
          <w:i/>
          <w:sz w:val="22"/>
          <w:szCs w:val="22"/>
          <w:lang w:eastAsia="en-US"/>
        </w:rPr>
        <w:t xml:space="preserve">Rapporto annuale dell'Unità di Informazione Finanziaria (UIF) per il 2017, n. 10 – 2018 (v.: </w:t>
      </w:r>
      <w:hyperlink r:id="rId7" w:history="1">
        <w:r w:rsidRPr="00646046">
          <w:rPr>
            <w:rFonts w:eastAsiaTheme="minorHAnsi" w:cs="Arial"/>
            <w:b/>
            <w:i/>
            <w:color w:val="0563C1" w:themeColor="hyperlink"/>
            <w:sz w:val="22"/>
            <w:szCs w:val="22"/>
            <w:u w:val="single"/>
            <w:lang w:eastAsia="en-US"/>
          </w:rPr>
          <w:t>http://uif.bancaditalia.it/pubblicazioni/rapporto-annuale/</w:t>
        </w:r>
      </w:hyperlink>
      <w:r w:rsidRPr="00646046">
        <w:rPr>
          <w:rFonts w:eastAsiaTheme="minorHAnsi" w:cs="Arial"/>
          <w:b/>
          <w:i/>
          <w:sz w:val="22"/>
          <w:szCs w:val="22"/>
          <w:lang w:eastAsia="en-US"/>
        </w:rPr>
        <w:t>)</w:t>
      </w:r>
    </w:p>
    <w:p w14:paraId="3528CCA9" w14:textId="77777777" w:rsidR="009B6866" w:rsidRPr="00646046" w:rsidRDefault="009B6866" w:rsidP="009B6866">
      <w:pPr>
        <w:spacing w:before="240" w:line="276" w:lineRule="auto"/>
        <w:ind w:firstLine="0"/>
        <w:contextualSpacing/>
        <w:jc w:val="left"/>
        <w:rPr>
          <w:rFonts w:eastAsiaTheme="minorHAnsi" w:cs="Arial"/>
          <w:b/>
          <w:i/>
          <w:sz w:val="22"/>
          <w:szCs w:val="22"/>
          <w:lang w:eastAsia="en-US"/>
        </w:rPr>
      </w:pPr>
    </w:p>
    <w:p w14:paraId="79404722" w14:textId="77777777" w:rsidR="009B6866" w:rsidRPr="00646046" w:rsidRDefault="009B6866" w:rsidP="009B6866">
      <w:pPr>
        <w:spacing w:before="240" w:line="276" w:lineRule="auto"/>
        <w:ind w:firstLine="0"/>
        <w:contextualSpacing/>
        <w:jc w:val="left"/>
        <w:rPr>
          <w:rFonts w:eastAsiaTheme="minorHAnsi" w:cs="Arial"/>
          <w:b/>
          <w:i/>
          <w:sz w:val="22"/>
          <w:szCs w:val="22"/>
          <w:lang w:eastAsia="en-US"/>
        </w:rPr>
      </w:pPr>
      <w:r w:rsidRPr="00646046">
        <w:rPr>
          <w:rFonts w:eastAsiaTheme="minorHAnsi" w:cs="Arial"/>
          <w:b/>
          <w:i/>
          <w:sz w:val="22"/>
          <w:szCs w:val="22"/>
          <w:lang w:eastAsia="en-US"/>
        </w:rPr>
        <w:t>LIBERA INFORMAZIONE:</w:t>
      </w:r>
    </w:p>
    <w:p w14:paraId="31F5D817" w14:textId="77777777" w:rsidR="009B6866" w:rsidRPr="00646046" w:rsidRDefault="009B6866" w:rsidP="009B6866">
      <w:pPr>
        <w:pStyle w:val="Paragrafoelenco"/>
        <w:numPr>
          <w:ilvl w:val="0"/>
          <w:numId w:val="2"/>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2011</w:t>
      </w:r>
      <w:r w:rsidRPr="00646046">
        <w:rPr>
          <w:rFonts w:eastAsiaTheme="minorHAnsi" w:cs="Arial"/>
          <w:b/>
          <w:i/>
          <w:sz w:val="22"/>
          <w:szCs w:val="22"/>
          <w:lang w:eastAsia="en-US"/>
        </w:rPr>
        <w:tab/>
        <w:t>Mafie senza confini, noi senza paura – Dossier 2011 – Mafie in Emilia-Romagna, (a cura di Frigerio L., Liardo G.), Rapporto predisposto per l’Assemblea Legislativa dell’Emilia-Romagna, Roma.</w:t>
      </w:r>
    </w:p>
    <w:p w14:paraId="3F6FC432" w14:textId="77777777" w:rsidR="009B6866" w:rsidRPr="00646046" w:rsidRDefault="009B6866" w:rsidP="009B6866">
      <w:pPr>
        <w:pStyle w:val="Paragrafoelenco"/>
        <w:numPr>
          <w:ilvl w:val="0"/>
          <w:numId w:val="2"/>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 xml:space="preserve">2012 </w:t>
      </w:r>
      <w:r w:rsidRPr="00646046">
        <w:rPr>
          <w:rFonts w:eastAsiaTheme="minorHAnsi" w:cs="Arial"/>
          <w:b/>
          <w:i/>
          <w:sz w:val="22"/>
          <w:szCs w:val="22"/>
          <w:lang w:eastAsia="en-US"/>
        </w:rPr>
        <w:tab/>
        <w:t xml:space="preserve">Mosaico di mafie e antimafia – Dossier 2012 – I numeri del radicamento in Emilia-Romagna, (a cura di Della Volpe S., Ferrara N., Frigerio L., Liardo G.), Rapporto predisposto per l’Assemblea Legislativa dell’Emilia-Romagna, Roma. </w:t>
      </w:r>
    </w:p>
    <w:p w14:paraId="3DC683D6" w14:textId="77777777" w:rsidR="009B6866" w:rsidRPr="00646046" w:rsidRDefault="009B6866" w:rsidP="009B6866">
      <w:pPr>
        <w:pStyle w:val="Paragrafoelenco"/>
        <w:numPr>
          <w:ilvl w:val="0"/>
          <w:numId w:val="2"/>
        </w:numPr>
        <w:spacing w:before="240" w:line="276" w:lineRule="auto"/>
        <w:jc w:val="left"/>
        <w:rPr>
          <w:rFonts w:eastAsiaTheme="minorHAnsi" w:cs="Arial"/>
          <w:b/>
          <w:i/>
          <w:sz w:val="22"/>
          <w:szCs w:val="22"/>
          <w:lang w:eastAsia="en-US"/>
        </w:rPr>
      </w:pPr>
      <w:r w:rsidRPr="00646046">
        <w:rPr>
          <w:rFonts w:eastAsiaTheme="minorHAnsi" w:cs="Arial"/>
          <w:b/>
          <w:i/>
          <w:sz w:val="22"/>
          <w:szCs w:val="22"/>
          <w:lang w:eastAsia="en-US"/>
        </w:rPr>
        <w:t>2013</w:t>
      </w:r>
      <w:r w:rsidRPr="00646046">
        <w:rPr>
          <w:rFonts w:eastAsiaTheme="minorHAnsi" w:cs="Arial"/>
          <w:b/>
          <w:i/>
          <w:sz w:val="22"/>
          <w:szCs w:val="22"/>
          <w:lang w:eastAsia="en-US"/>
        </w:rPr>
        <w:tab/>
        <w:t xml:space="preserve">Mosaico di mafie e antimafia – Dossier 2013 – L’altra ‘ndrangheta in Emilia-Romagna, (a cura di S. Della Volpe, L. Frigerio, G. Liardo), Rapporto predisposto per l’Assemblea Legislativa dell’Emilia-Romagna, Roma. </w:t>
      </w:r>
    </w:p>
    <w:p w14:paraId="03BC8223" w14:textId="77777777" w:rsidR="009B6866" w:rsidRPr="00646046" w:rsidRDefault="009B6866" w:rsidP="009B6866">
      <w:pPr>
        <w:pStyle w:val="Paragrafoelenco"/>
        <w:numPr>
          <w:ilvl w:val="0"/>
          <w:numId w:val="2"/>
        </w:numPr>
        <w:spacing w:before="240" w:line="276" w:lineRule="auto"/>
        <w:jc w:val="left"/>
        <w:rPr>
          <w:rFonts w:eastAsiaTheme="minorHAnsi" w:cs="Arial"/>
          <w:sz w:val="24"/>
          <w:szCs w:val="24"/>
          <w:lang w:eastAsia="en-US"/>
        </w:rPr>
      </w:pPr>
      <w:r w:rsidRPr="00646046">
        <w:rPr>
          <w:rFonts w:eastAsiaTheme="minorHAnsi" w:cs="Arial"/>
          <w:b/>
          <w:i/>
          <w:sz w:val="22"/>
          <w:szCs w:val="22"/>
          <w:lang w:eastAsia="en-US"/>
        </w:rPr>
        <w:t>2015</w:t>
      </w:r>
      <w:r w:rsidRPr="00646046">
        <w:rPr>
          <w:rFonts w:eastAsiaTheme="minorHAnsi" w:cs="Arial"/>
          <w:b/>
          <w:i/>
          <w:sz w:val="22"/>
          <w:szCs w:val="22"/>
          <w:lang w:eastAsia="en-US"/>
        </w:rPr>
        <w:tab/>
        <w:t>Mosaico di mafie e antimafia – Dossier 2014/15 – Aemilia: un terremoto di nome ‘ndrangheta, (a cura di S. Della Volpe, L. Frigerio, G. Liardo), Rapporto predisposto per l’Assemblea Legislativa dell’Emilia-Romagna, Roma</w:t>
      </w:r>
      <w:r w:rsidRPr="00646046">
        <w:rPr>
          <w:rFonts w:eastAsiaTheme="minorHAnsi" w:cs="Arial"/>
          <w:sz w:val="24"/>
          <w:szCs w:val="24"/>
          <w:lang w:eastAsia="en-US"/>
        </w:rPr>
        <w:t>.</w:t>
      </w:r>
    </w:p>
    <w:p w14:paraId="31C39985" w14:textId="51CA9135" w:rsidR="0070287A" w:rsidRDefault="009B6866" w:rsidP="005B25E2">
      <w:pPr>
        <w:spacing w:before="240" w:line="276" w:lineRule="auto"/>
        <w:ind w:firstLine="0"/>
        <w:jc w:val="left"/>
        <w:rPr>
          <w:rFonts w:eastAsiaTheme="minorHAnsi" w:cs="Arial"/>
          <w:b/>
          <w:i/>
          <w:color w:val="FF0000"/>
          <w:sz w:val="22"/>
          <w:szCs w:val="22"/>
          <w:lang w:eastAsia="en-US"/>
        </w:rPr>
      </w:pPr>
      <w:r w:rsidRPr="005F46DD">
        <w:rPr>
          <w:rFonts w:eastAsiaTheme="minorHAnsi" w:cs="Arial"/>
          <w:b/>
          <w:i/>
          <w:color w:val="FF0000"/>
          <w:sz w:val="22"/>
          <w:szCs w:val="22"/>
          <w:lang w:eastAsia="en-US"/>
        </w:rPr>
        <w:lastRenderedPageBreak/>
        <w:t xml:space="preserve">(per eventuali integrazioni, per descrizione del territorio di riferimento </w:t>
      </w:r>
      <w:proofErr w:type="spellStart"/>
      <w:r w:rsidRPr="005F46DD">
        <w:rPr>
          <w:rFonts w:eastAsiaTheme="minorHAnsi" w:cs="Arial"/>
          <w:b/>
          <w:i/>
          <w:color w:val="FF0000"/>
          <w:sz w:val="22"/>
          <w:szCs w:val="22"/>
          <w:lang w:eastAsia="en-US"/>
        </w:rPr>
        <w:t>vd</w:t>
      </w:r>
      <w:proofErr w:type="spellEnd"/>
      <w:r w:rsidRPr="005F46DD">
        <w:rPr>
          <w:rFonts w:eastAsiaTheme="minorHAnsi" w:cs="Arial"/>
          <w:b/>
          <w:i/>
          <w:color w:val="FF0000"/>
          <w:sz w:val="22"/>
          <w:szCs w:val="22"/>
          <w:lang w:eastAsia="en-US"/>
        </w:rPr>
        <w:t xml:space="preserve">. anche </w:t>
      </w:r>
      <w:r w:rsidR="005B25E2">
        <w:rPr>
          <w:rFonts w:eastAsiaTheme="minorHAnsi" w:cs="Arial"/>
          <w:b/>
          <w:i/>
          <w:color w:val="FF0000"/>
          <w:sz w:val="22"/>
          <w:szCs w:val="22"/>
          <w:lang w:eastAsia="en-US"/>
        </w:rPr>
        <w:t>la “</w:t>
      </w:r>
      <w:r w:rsidR="005B25E2" w:rsidRPr="005B25E2">
        <w:rPr>
          <w:rFonts w:eastAsiaTheme="minorHAnsi" w:cs="Arial"/>
          <w:b/>
          <w:i/>
          <w:color w:val="FF0000"/>
          <w:sz w:val="22"/>
          <w:szCs w:val="22"/>
          <w:lang w:eastAsia="en-US"/>
        </w:rPr>
        <w:t xml:space="preserve">RELAZIONE SULL'ATTIVITÀ DELLE FORZE DI POLIZIA, SULLO STATO DELL'ORDINE E DELLA </w:t>
      </w:r>
      <w:r w:rsidR="005B25E2" w:rsidRPr="005B25E2">
        <w:rPr>
          <w:rFonts w:eastAsiaTheme="minorHAnsi" w:cs="Arial"/>
          <w:b/>
          <w:i/>
          <w:color w:val="FF0000"/>
          <w:sz w:val="22"/>
          <w:szCs w:val="22"/>
          <w:lang w:eastAsia="en-US"/>
        </w:rPr>
        <w:t>S</w:t>
      </w:r>
      <w:r w:rsidR="005B25E2" w:rsidRPr="005B25E2">
        <w:rPr>
          <w:rFonts w:eastAsiaTheme="minorHAnsi" w:cs="Arial"/>
          <w:b/>
          <w:i/>
          <w:color w:val="FF0000"/>
          <w:sz w:val="22"/>
          <w:szCs w:val="22"/>
          <w:lang w:eastAsia="en-US"/>
        </w:rPr>
        <w:t>ICUREZZA PUBBLICA E SULLA CRIMINALITÀ ORGANIZZATA</w:t>
      </w:r>
      <w:r w:rsidR="005B25E2" w:rsidRPr="005B25E2">
        <w:rPr>
          <w:rFonts w:eastAsiaTheme="minorHAnsi" w:cs="Arial"/>
          <w:b/>
          <w:i/>
          <w:color w:val="FF0000"/>
          <w:sz w:val="22"/>
          <w:szCs w:val="22"/>
          <w:lang w:eastAsia="en-US"/>
        </w:rPr>
        <w:t>”</w:t>
      </w:r>
      <w:r w:rsidR="005B25E2">
        <w:rPr>
          <w:rFonts w:eastAsiaTheme="minorHAnsi" w:cs="Arial"/>
          <w:b/>
          <w:i/>
          <w:color w:val="FF0000"/>
          <w:sz w:val="22"/>
          <w:szCs w:val="22"/>
          <w:lang w:eastAsia="en-US"/>
        </w:rPr>
        <w:t xml:space="preserve"> del Ministro dell’Interno </w:t>
      </w:r>
      <w:r w:rsidR="005B25E2" w:rsidRPr="005B25E2">
        <w:rPr>
          <w:rFonts w:eastAsiaTheme="minorHAnsi" w:cs="Arial"/>
          <w:b/>
          <w:i/>
          <w:color w:val="FF0000"/>
          <w:sz w:val="22"/>
          <w:szCs w:val="22"/>
          <w:lang w:eastAsia="en-US"/>
        </w:rPr>
        <w:t>al Parlamento</w:t>
      </w:r>
      <w:r w:rsidR="005B25E2">
        <w:rPr>
          <w:rFonts w:ascii="Titillium Web" w:hAnsi="Titillium Web"/>
          <w:color w:val="FFFFFF"/>
          <w:sz w:val="46"/>
          <w:szCs w:val="46"/>
        </w:rPr>
        <w:t xml:space="preserve"> </w:t>
      </w:r>
      <w:r w:rsidR="005B25E2" w:rsidRPr="005B25E2">
        <w:rPr>
          <w:rFonts w:eastAsiaTheme="minorHAnsi" w:cs="Arial"/>
          <w:b/>
          <w:i/>
          <w:color w:val="FF0000"/>
          <w:sz w:val="22"/>
          <w:szCs w:val="22"/>
          <w:lang w:eastAsia="en-US"/>
        </w:rPr>
        <w:t>in</w:t>
      </w:r>
      <w:r w:rsidR="005B25E2" w:rsidRPr="005B25E2">
        <w:rPr>
          <w:rFonts w:ascii="Titillium Web" w:hAnsi="Titillium Web"/>
          <w:color w:val="FF0000"/>
          <w:sz w:val="46"/>
          <w:szCs w:val="46"/>
        </w:rPr>
        <w:t xml:space="preserve"> </w:t>
      </w:r>
      <w:hyperlink r:id="rId8" w:history="1">
        <w:r w:rsidR="005B25E2" w:rsidRPr="00B810AF">
          <w:rPr>
            <w:rStyle w:val="Collegamentoipertestuale"/>
            <w:rFonts w:eastAsiaTheme="minorHAnsi" w:cs="Arial"/>
            <w:b/>
            <w:i/>
            <w:sz w:val="22"/>
            <w:szCs w:val="22"/>
            <w:lang w:eastAsia="en-US"/>
          </w:rPr>
          <w:t>https://www.camera.it/leg18/494?idLegislatura=18&amp;categoria=038&amp;tipologiaDoc=elenco_categoria</w:t>
        </w:r>
      </w:hyperlink>
    </w:p>
    <w:p w14:paraId="142F2317" w14:textId="6F61D5A3" w:rsidR="00140568" w:rsidRDefault="00140568">
      <w:bookmarkStart w:id="0" w:name="_GoBack"/>
      <w:bookmarkEnd w:id="0"/>
    </w:p>
    <w:p w14:paraId="67275B95" w14:textId="082927A8" w:rsidR="00140568" w:rsidRPr="00646046" w:rsidRDefault="00140568" w:rsidP="00140568">
      <w:pPr>
        <w:spacing w:line="276" w:lineRule="auto"/>
        <w:ind w:firstLine="0"/>
        <w:rPr>
          <w:rFonts w:eastAsiaTheme="minorHAnsi" w:cs="Arial"/>
          <w:b/>
          <w:sz w:val="24"/>
          <w:szCs w:val="24"/>
          <w:lang w:eastAsia="en-US"/>
        </w:rPr>
      </w:pPr>
      <w:r w:rsidRPr="00646046">
        <w:rPr>
          <w:rFonts w:eastAsiaTheme="minorHAnsi" w:cs="Arial"/>
          <w:b/>
          <w:sz w:val="24"/>
          <w:szCs w:val="24"/>
          <w:lang w:eastAsia="en-US"/>
        </w:rPr>
        <w:t>Attività di contrasto sociale e amministrativo</w:t>
      </w:r>
    </w:p>
    <w:p w14:paraId="6BF148F4" w14:textId="77777777" w:rsidR="00140568" w:rsidRDefault="00140568" w:rsidP="00140568">
      <w:pPr>
        <w:spacing w:line="276" w:lineRule="auto"/>
        <w:ind w:firstLine="0"/>
        <w:rPr>
          <w:rFonts w:eastAsiaTheme="minorHAnsi" w:cs="Arial"/>
          <w:sz w:val="24"/>
          <w:szCs w:val="24"/>
          <w:lang w:eastAsia="en-US"/>
        </w:rPr>
      </w:pPr>
    </w:p>
    <w:p w14:paraId="2288B313"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Con l’adozione della L.R. 18/2016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14:paraId="714AB23F"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Numerose disposizioni sono volte a rafforzare la prevenzione dei fenomeni di corruzione ed illegalità a partire dal settore degli appalti pubblici. Tra le misure previste:</w:t>
      </w:r>
    </w:p>
    <w:p w14:paraId="59A50CA0"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la valorizzazione del rating di legalità delle imprese (art. 14);</w:t>
      </w:r>
    </w:p>
    <w:p w14:paraId="2BE24C23"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la creazione di elenchi di merito, a partire dal settore dell’edilizia ed in tutti i comparti a maggior rischio di infiltrazione mafiosa (art. 14);</w:t>
      </w:r>
    </w:p>
    <w:p w14:paraId="238FB7C7"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la diffusione della Carta dei Principi delle Imprese e dell’Elenco di Merito delle imprese e degli operatori economici (art. 14);</w:t>
      </w:r>
    </w:p>
    <w:p w14:paraId="5B8A17B2"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Il monitoraggio costante degli appalti pubblici, anche in collaborazione con l’Autorità anticorruzione (art. 24);</w:t>
      </w:r>
    </w:p>
    <w:p w14:paraId="5BBBEFAA"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La riduzione delle stazioni appaltanti, favorendo la funzione di centrale unica di committenza esercitata dalle unioni di comuni (art. 25);</w:t>
      </w:r>
    </w:p>
    <w:p w14:paraId="53E62B17" w14:textId="77777777" w:rsidR="00140568" w:rsidRPr="00646046" w:rsidRDefault="00140568" w:rsidP="00140568">
      <w:pPr>
        <w:numPr>
          <w:ilvl w:val="0"/>
          <w:numId w:val="3"/>
        </w:numPr>
        <w:spacing w:after="200" w:line="276" w:lineRule="auto"/>
        <w:contextualSpacing/>
        <w:jc w:val="left"/>
        <w:rPr>
          <w:rFonts w:eastAsiaTheme="minorHAnsi" w:cs="Arial"/>
          <w:sz w:val="24"/>
          <w:szCs w:val="24"/>
          <w:lang w:eastAsia="en-US"/>
        </w:rPr>
      </w:pPr>
      <w:r w:rsidRPr="00646046">
        <w:rPr>
          <w:rFonts w:eastAsiaTheme="minorHAnsi" w:cs="Arial"/>
          <w:sz w:val="24"/>
          <w:szCs w:val="24"/>
          <w:lang w:eastAsia="en-US"/>
        </w:rPr>
        <w:t>La promozione della responsabilità sociale delle imprese, al fine di favorire il pieno rispetto delle normative e dei contratti sulla tutela delle condizioni di lavoro (art. 26).</w:t>
      </w:r>
    </w:p>
    <w:p w14:paraId="4010057F" w14:textId="77777777" w:rsidR="00140568" w:rsidRPr="00646046" w:rsidRDefault="00140568" w:rsidP="007D06FE">
      <w:pPr>
        <w:spacing w:line="276" w:lineRule="auto"/>
        <w:ind w:firstLine="0"/>
        <w:rPr>
          <w:rFonts w:eastAsiaTheme="minorHAnsi" w:cs="Arial"/>
          <w:sz w:val="24"/>
          <w:szCs w:val="24"/>
          <w:lang w:eastAsia="en-US"/>
        </w:rPr>
      </w:pPr>
      <w:r w:rsidRPr="00646046">
        <w:rPr>
          <w:rFonts w:eastAsiaTheme="minorHAnsi" w:cs="Arial"/>
          <w:sz w:val="24"/>
          <w:szCs w:val="24"/>
          <w:lang w:eastAsia="en-US"/>
        </w:rPr>
        <w:t>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 Viene favorita poi una maggiore condivisione di informazioni sui controlli da parte dei corpi deputati alla protezione del patrimonio naturale, forestale e ambientale in genere, oltre al maggiore sostegno alle attività della rete del lavoro agricolo, cercando di prevenire l’insorgenza di fenomeni illeciti all’interno del contesto agricolo.</w:t>
      </w:r>
    </w:p>
    <w:p w14:paraId="174DB578" w14:textId="41AFA171" w:rsidR="00140568" w:rsidRDefault="00140568"/>
    <w:p w14:paraId="09D150C2" w14:textId="09517BEC" w:rsidR="00140568" w:rsidRDefault="00140568">
      <w:pPr>
        <w:rPr>
          <w:sz w:val="24"/>
          <w:szCs w:val="24"/>
        </w:rPr>
      </w:pPr>
      <w:r w:rsidRPr="00140568">
        <w:rPr>
          <w:sz w:val="24"/>
          <w:szCs w:val="24"/>
        </w:rPr>
        <w:t xml:space="preserve">Recentemente la Giunta regionale, con propria delibera n. 2151 del 22/11/2019 ha approvato il </w:t>
      </w:r>
      <w:r w:rsidRPr="00140568">
        <w:rPr>
          <w:b/>
          <w:bCs/>
          <w:sz w:val="24"/>
          <w:szCs w:val="24"/>
        </w:rPr>
        <w:t>Piano integrato delle azioni regionali per la promozione della cultura della legalità e della cittadinanza responsabile e la prevenzione del crimine organizzato e mafioso e dei fenomeni corruttivi relativo al biennio 2020/2021</w:t>
      </w:r>
      <w:r w:rsidRPr="00140568">
        <w:rPr>
          <w:sz w:val="24"/>
          <w:szCs w:val="24"/>
        </w:rPr>
        <w:t>, ai sensi dell’art. 3 della L.R. 28 ottobre 2016, n. 18 "</w:t>
      </w:r>
      <w:r w:rsidRPr="00140568">
        <w:rPr>
          <w:i/>
          <w:iCs/>
          <w:sz w:val="24"/>
          <w:szCs w:val="24"/>
        </w:rPr>
        <w:t>Testo unico per la promozione della legalità e per la valorizzazione della cittadinanza e dell’economia responsabili</w:t>
      </w:r>
      <w:r w:rsidRPr="00140568">
        <w:rPr>
          <w:sz w:val="24"/>
          <w:szCs w:val="24"/>
        </w:rPr>
        <w:t>”.</w:t>
      </w:r>
    </w:p>
    <w:p w14:paraId="325B9FB7" w14:textId="000B05CD" w:rsidR="00140568" w:rsidRDefault="00140568">
      <w:pPr>
        <w:rPr>
          <w:sz w:val="24"/>
          <w:szCs w:val="24"/>
        </w:rPr>
      </w:pPr>
    </w:p>
    <w:p w14:paraId="6137DC5E"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Per quanto attiene specificatamente le strategie regionali di prevenzione e di contrasto</w:t>
      </w:r>
      <w:r w:rsidRPr="00646046">
        <w:rPr>
          <w:rFonts w:asciiTheme="minorHAnsi" w:eastAsiaTheme="minorHAnsi" w:hAnsiTheme="minorHAnsi" w:cstheme="minorBidi"/>
          <w:sz w:val="22"/>
          <w:szCs w:val="22"/>
          <w:lang w:eastAsia="en-US"/>
        </w:rPr>
        <w:t xml:space="preserve"> </w:t>
      </w:r>
      <w:r w:rsidRPr="00646046">
        <w:rPr>
          <w:rFonts w:eastAsiaTheme="minorHAnsi" w:cs="Arial"/>
          <w:sz w:val="24"/>
          <w:szCs w:val="24"/>
          <w:lang w:eastAsia="en-US"/>
        </w:rPr>
        <w:t xml:space="preserve">e dell’illegalità all’interno dell’amministrazione regionale e delle altre amministrazioni </w:t>
      </w:r>
      <w:r w:rsidRPr="00646046">
        <w:rPr>
          <w:rFonts w:eastAsiaTheme="minorHAnsi" w:cs="Arial"/>
          <w:sz w:val="24"/>
          <w:szCs w:val="24"/>
          <w:lang w:eastAsia="en-US"/>
        </w:rPr>
        <w:lastRenderedPageBreak/>
        <w:t xml:space="preserve">pubbliche, la Regione - in base all’art. 15 della </w:t>
      </w:r>
      <w:proofErr w:type="spellStart"/>
      <w:r w:rsidRPr="00646046">
        <w:rPr>
          <w:rFonts w:eastAsiaTheme="minorHAnsi" w:cs="Arial"/>
          <w:sz w:val="24"/>
          <w:szCs w:val="24"/>
          <w:lang w:eastAsia="en-US"/>
        </w:rPr>
        <w:t>l.r</w:t>
      </w:r>
      <w:proofErr w:type="spellEnd"/>
      <w:r w:rsidRPr="00646046">
        <w:rPr>
          <w:rFonts w:eastAsiaTheme="minorHAnsi" w:cs="Arial"/>
          <w:sz w:val="24"/>
          <w:szCs w:val="24"/>
          <w:lang w:eastAsia="en-US"/>
        </w:rPr>
        <w:t>. n. 18 del 2016 - ha promosso l’avvio di una “</w:t>
      </w:r>
      <w:r w:rsidRPr="00646046">
        <w:rPr>
          <w:rFonts w:eastAsiaTheme="minorHAnsi" w:cs="Arial"/>
          <w:b/>
          <w:sz w:val="24"/>
          <w:szCs w:val="24"/>
          <w:lang w:eastAsia="en-US"/>
        </w:rPr>
        <w:t>Rete per l’Integrità e la Trasparenza</w:t>
      </w:r>
      <w:r w:rsidRPr="00646046">
        <w:rPr>
          <w:rFonts w:eastAsiaTheme="minorHAnsi" w:cs="Arial"/>
          <w:sz w:val="24"/>
          <w:szCs w:val="24"/>
          <w:lang w:eastAsia="en-US"/>
        </w:rPr>
        <w:t>”, ossia una forma di raccordo tra i Responsabili della prevenzione della corruzione e della Trasparenza delle amministrazioni del territorio emiliano-romagnolo.</w:t>
      </w:r>
    </w:p>
    <w:p w14:paraId="370DFD69"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14:paraId="16FF0882" w14:textId="45C39833" w:rsidR="00140568" w:rsidRPr="00140568" w:rsidRDefault="00140568" w:rsidP="00140568">
      <w:pPr>
        <w:spacing w:line="276" w:lineRule="auto"/>
        <w:ind w:firstLine="0"/>
        <w:rPr>
          <w:rFonts w:eastAsiaTheme="minorHAnsi" w:cs="Arial"/>
          <w:sz w:val="24"/>
          <w:szCs w:val="24"/>
          <w:lang w:eastAsia="en-US"/>
        </w:rPr>
      </w:pPr>
      <w:r w:rsidRPr="00140568">
        <w:rPr>
          <w:rFonts w:eastAsiaTheme="minorHAnsi" w:cs="Arial"/>
          <w:sz w:val="24"/>
          <w:szCs w:val="24"/>
          <w:lang w:eastAsia="en-US"/>
        </w:rPr>
        <w:t xml:space="preserve">La Rete, a cui hanno aderito, </w:t>
      </w:r>
      <w:bookmarkStart w:id="1" w:name="_Hlk27740847"/>
      <w:r w:rsidRPr="00140568">
        <w:rPr>
          <w:rFonts w:eastAsiaTheme="minorHAnsi" w:cs="Arial"/>
          <w:sz w:val="24"/>
          <w:szCs w:val="24"/>
          <w:lang w:eastAsia="en-US"/>
        </w:rPr>
        <w:t>ad oggi</w:t>
      </w:r>
      <w:bookmarkEnd w:id="1"/>
      <w:r w:rsidRPr="00140568">
        <w:rPr>
          <w:rFonts w:eastAsiaTheme="minorHAnsi" w:cs="Arial"/>
          <w:sz w:val="24"/>
          <w:szCs w:val="24"/>
          <w:lang w:eastAsia="en-US"/>
        </w:rPr>
        <w:t xml:space="preserve">, ben </w:t>
      </w:r>
      <w:r w:rsidRPr="00140568">
        <w:rPr>
          <w:rFonts w:eastAsiaTheme="minorHAnsi" w:cs="Arial"/>
          <w:b/>
          <w:sz w:val="24"/>
          <w:szCs w:val="24"/>
          <w:lang w:eastAsia="en-US"/>
        </w:rPr>
        <w:t>195 enti</w:t>
      </w:r>
      <w:r w:rsidRPr="00140568">
        <w:rPr>
          <w:rFonts w:eastAsiaTheme="minorHAnsi" w:cs="Arial"/>
          <w:sz w:val="24"/>
          <w:szCs w:val="24"/>
          <w:lang w:eastAsia="en-US"/>
        </w:rPr>
        <w:t xml:space="preserve">, permette ai relativi Responsabili della prevenzione della corruzione e della Trasparenza di affrontare e approfondire congiuntamente i vari e problematici aspetti della materia, creando </w:t>
      </w:r>
      <w:r w:rsidRPr="00140568">
        <w:rPr>
          <w:rFonts w:eastAsiaTheme="minorHAnsi" w:cs="Arial"/>
          <w:bCs/>
          <w:sz w:val="24"/>
          <w:szCs w:val="24"/>
          <w:lang w:eastAsia="en-US"/>
        </w:rPr>
        <w:t>azioni coordinate e efficaci, pertanto, di contrasto ai fenomeni corruttiv</w:t>
      </w:r>
      <w:r w:rsidRPr="007D06FE">
        <w:rPr>
          <w:rFonts w:eastAsiaTheme="minorHAnsi" w:cs="Arial"/>
          <w:bCs/>
          <w:sz w:val="24"/>
          <w:szCs w:val="24"/>
          <w:lang w:eastAsia="en-US"/>
        </w:rPr>
        <w:t xml:space="preserve">i </w:t>
      </w:r>
      <w:r w:rsidRPr="00140568">
        <w:rPr>
          <w:rFonts w:eastAsiaTheme="minorHAnsi" w:cs="Arial"/>
          <w:sz w:val="24"/>
          <w:szCs w:val="24"/>
          <w:lang w:eastAsia="en-US"/>
        </w:rPr>
        <w:t xml:space="preserve">e di cattiva amministrazione nel nostro territorio. </w:t>
      </w:r>
    </w:p>
    <w:p w14:paraId="0002030E" w14:textId="77777777" w:rsidR="00140568" w:rsidRPr="00646046" w:rsidRDefault="00140568" w:rsidP="00140568">
      <w:pPr>
        <w:spacing w:line="276" w:lineRule="auto"/>
        <w:ind w:firstLine="0"/>
        <w:rPr>
          <w:rFonts w:eastAsiaTheme="minorHAnsi" w:cs="Arial"/>
          <w:sz w:val="24"/>
          <w:szCs w:val="24"/>
          <w:lang w:eastAsia="en-US"/>
        </w:rPr>
      </w:pPr>
    </w:p>
    <w:p w14:paraId="683BE668" w14:textId="7F6330D2" w:rsidR="00140568" w:rsidRPr="00646046" w:rsidRDefault="007D06FE" w:rsidP="00140568">
      <w:pPr>
        <w:spacing w:line="276" w:lineRule="auto"/>
        <w:ind w:firstLine="0"/>
        <w:rPr>
          <w:rFonts w:eastAsiaTheme="minorHAnsi" w:cs="Arial"/>
          <w:sz w:val="24"/>
          <w:szCs w:val="24"/>
          <w:lang w:eastAsia="en-US"/>
        </w:rPr>
      </w:pPr>
      <w:r>
        <w:rPr>
          <w:rFonts w:eastAsiaTheme="minorHAnsi" w:cs="Arial"/>
          <w:sz w:val="24"/>
          <w:szCs w:val="24"/>
          <w:lang w:eastAsia="en-US"/>
        </w:rPr>
        <w:t>Prosegue</w:t>
      </w:r>
      <w:r w:rsidR="00140568" w:rsidRPr="00646046">
        <w:rPr>
          <w:rFonts w:eastAsiaTheme="minorHAnsi" w:cs="Arial"/>
          <w:sz w:val="24"/>
          <w:szCs w:val="24"/>
          <w:lang w:eastAsia="en-US"/>
        </w:rPr>
        <w:t xml:space="preserve"> poi l’azione di </w:t>
      </w:r>
      <w:r w:rsidR="00140568" w:rsidRPr="00646046">
        <w:rPr>
          <w:rFonts w:eastAsiaTheme="minorHAnsi" w:cs="Arial"/>
          <w:b/>
          <w:sz w:val="24"/>
          <w:szCs w:val="24"/>
          <w:lang w:eastAsia="en-US"/>
        </w:rPr>
        <w:t>diffusione della Carta dei Principi di responsabilità sociale di imprese e la valorizzazione del rating di legalità</w:t>
      </w:r>
      <w:r w:rsidR="00140568" w:rsidRPr="00646046">
        <w:rPr>
          <w:rFonts w:eastAsiaTheme="minorHAnsi" w:cs="Arial"/>
          <w:sz w:val="24"/>
          <w:szCs w:val="24"/>
          <w:lang w:eastAsia="en-US"/>
        </w:rPr>
        <w:t>, attraverso i bandi per l’attuazione delle misure e degli interventi della DG Economia della Conoscenza, del Lavoro e dell'Impresa. L’adesione diviene così requisito indispensabile per l’accesso ai contributi previsti dai bandi.</w:t>
      </w:r>
    </w:p>
    <w:p w14:paraId="5D031812" w14:textId="5A383B42" w:rsidR="00140568" w:rsidRPr="00646046" w:rsidRDefault="007D06FE" w:rsidP="00140568">
      <w:pPr>
        <w:spacing w:line="276" w:lineRule="auto"/>
        <w:ind w:firstLine="0"/>
        <w:rPr>
          <w:rFonts w:eastAsiaTheme="minorHAnsi" w:cs="Arial"/>
          <w:sz w:val="24"/>
          <w:szCs w:val="24"/>
          <w:lang w:eastAsia="en-US"/>
        </w:rPr>
      </w:pPr>
      <w:r>
        <w:rPr>
          <w:rFonts w:eastAsiaTheme="minorHAnsi" w:cs="Arial"/>
          <w:sz w:val="24"/>
          <w:szCs w:val="24"/>
          <w:lang w:eastAsia="en-US"/>
        </w:rPr>
        <w:t>Continua</w:t>
      </w:r>
      <w:r w:rsidR="00140568" w:rsidRPr="00646046">
        <w:rPr>
          <w:rFonts w:eastAsiaTheme="minorHAnsi" w:cs="Arial"/>
          <w:sz w:val="24"/>
          <w:szCs w:val="24"/>
          <w:lang w:eastAsia="en-US"/>
        </w:rPr>
        <w:t xml:space="preserve"> l’attività dell’</w:t>
      </w:r>
      <w:r w:rsidR="00140568" w:rsidRPr="00646046">
        <w:rPr>
          <w:rFonts w:eastAsiaTheme="minorHAnsi" w:cs="Arial"/>
          <w:b/>
          <w:sz w:val="24"/>
          <w:szCs w:val="24"/>
          <w:lang w:eastAsia="en-US"/>
        </w:rPr>
        <w:t>Osservatorio regionale dei contratti pubblici di lavori, servizi e forniture</w:t>
      </w:r>
      <w:r w:rsidR="00140568" w:rsidRPr="00646046">
        <w:rPr>
          <w:rFonts w:eastAsiaTheme="minorHAnsi" w:cs="Arial"/>
          <w:sz w:val="24"/>
          <w:szCs w:val="24"/>
          <w:lang w:eastAsia="en-US"/>
        </w:rPr>
        <w:t>,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14:paraId="5ABF4EA4"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È stato realizzato l’aggiornamento dell’</w:t>
      </w:r>
      <w:r w:rsidRPr="00646046">
        <w:rPr>
          <w:rFonts w:eastAsiaTheme="minorHAnsi" w:cs="Arial"/>
          <w:b/>
          <w:sz w:val="24"/>
          <w:szCs w:val="24"/>
          <w:lang w:eastAsia="en-US"/>
        </w:rPr>
        <w:t>Elenco regionale dei prezzi delle opere pubbliche.</w:t>
      </w:r>
    </w:p>
    <w:p w14:paraId="7838DD30" w14:textId="3FCC4924"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In relazione all’art. 34, della L.R. n. 18/2016, è continuata l’attività relativa all’aggiornamento dell’</w:t>
      </w:r>
      <w:r w:rsidRPr="00646046">
        <w:rPr>
          <w:rFonts w:eastAsiaTheme="minorHAnsi" w:cs="Arial"/>
          <w:b/>
          <w:sz w:val="24"/>
          <w:szCs w:val="24"/>
          <w:lang w:eastAsia="en-US"/>
        </w:rPr>
        <w:t>Elenco di merito degli operatori economici del settore edile e delle costruzioni</w:t>
      </w:r>
      <w:r w:rsidRPr="00646046">
        <w:rPr>
          <w:rFonts w:eastAsiaTheme="minorHAnsi" w:cs="Arial"/>
          <w:sz w:val="24"/>
          <w:szCs w:val="24"/>
          <w:lang w:eastAsia="en-US"/>
        </w:rPr>
        <w:t xml:space="preserve">. La formazione dell’Elenco di merito, che conta </w:t>
      </w:r>
      <w:r w:rsidR="00955779" w:rsidRPr="00955779">
        <w:rPr>
          <w:rFonts w:eastAsiaTheme="minorHAnsi" w:cs="Arial"/>
          <w:sz w:val="24"/>
          <w:szCs w:val="24"/>
          <w:lang w:eastAsia="en-US"/>
        </w:rPr>
        <w:t xml:space="preserve">ad oggi </w:t>
      </w:r>
      <w:r w:rsidRPr="00955779">
        <w:rPr>
          <w:rFonts w:eastAsiaTheme="minorHAnsi" w:cs="Arial"/>
          <w:b/>
          <w:bCs/>
          <w:sz w:val="24"/>
          <w:szCs w:val="24"/>
          <w:lang w:eastAsia="en-US"/>
        </w:rPr>
        <w:t>1.506</w:t>
      </w:r>
      <w:r w:rsidRPr="00646046">
        <w:rPr>
          <w:rFonts w:eastAsiaTheme="minorHAnsi" w:cs="Arial"/>
          <w:sz w:val="24"/>
          <w:szCs w:val="24"/>
          <w:lang w:eastAsia="en-US"/>
        </w:rPr>
        <w:t xml:space="preserve"> </w:t>
      </w:r>
      <w:r w:rsidRPr="00955779">
        <w:rPr>
          <w:rFonts w:eastAsiaTheme="minorHAnsi" w:cs="Arial"/>
          <w:b/>
          <w:bCs/>
          <w:sz w:val="24"/>
          <w:szCs w:val="24"/>
          <w:lang w:eastAsia="en-US"/>
        </w:rPr>
        <w:t>imprese iscritte</w:t>
      </w:r>
      <w:r w:rsidRPr="00646046">
        <w:rPr>
          <w:rFonts w:eastAsiaTheme="minorHAnsi" w:cs="Arial"/>
          <w:sz w:val="24"/>
          <w:szCs w:val="24"/>
          <w:lang w:eastAsia="en-US"/>
        </w:rPr>
        <w:t>, persegue due principali finalità: a) la prima è rivolta alla costituzione di una banca dati a cui le Stazioni Appaltanti, i Comuni, i committenti, i professionisti ed i cittadini possono attingere per affidare incarichi alle imprese; b) la seconda riguarda l’attuazione del principio della semplificazione offrendo la possibilità, ove si realizzino le condizioni normative ed organizzative, di non dover ripresentare i medesimi documenti previsti per altri adempimenti.</w:t>
      </w:r>
    </w:p>
    <w:p w14:paraId="388A850E" w14:textId="239EDE21" w:rsidR="00140568" w:rsidRDefault="00140568" w:rsidP="00140568">
      <w:pPr>
        <w:spacing w:line="276" w:lineRule="auto"/>
        <w:ind w:firstLine="0"/>
        <w:rPr>
          <w:rFonts w:eastAsiaTheme="minorHAnsi" w:cs="Arial"/>
          <w:sz w:val="24"/>
          <w:szCs w:val="24"/>
          <w:lang w:eastAsia="en-US"/>
        </w:rPr>
      </w:pPr>
    </w:p>
    <w:p w14:paraId="53492340" w14:textId="44D7E952" w:rsid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È stato aggiornato e adeguato al nuovo Codice degli appalti pubblici D. Lgs. 50/2016 e ss.mm. ii.</w:t>
      </w:r>
      <w:r w:rsidRPr="00E61E59">
        <w:rPr>
          <w:rFonts w:eastAsiaTheme="minorHAnsi" w:cs="Arial"/>
          <w:b/>
          <w:bCs/>
          <w:sz w:val="24"/>
          <w:szCs w:val="24"/>
          <w:lang w:eastAsia="en-US"/>
        </w:rPr>
        <w:t xml:space="preserve"> </w:t>
      </w:r>
      <w:r w:rsidRPr="00E61E59">
        <w:rPr>
          <w:rFonts w:eastAsiaTheme="minorHAnsi" w:cs="Arial"/>
          <w:sz w:val="24"/>
          <w:szCs w:val="24"/>
          <w:lang w:eastAsia="en-US"/>
        </w:rPr>
        <w:t xml:space="preserve">il sistema informativo SITAR, ora denominato </w:t>
      </w:r>
      <w:r w:rsidRPr="00E61E59">
        <w:rPr>
          <w:rFonts w:eastAsiaTheme="minorHAnsi" w:cs="Arial"/>
          <w:b/>
          <w:sz w:val="24"/>
          <w:szCs w:val="24"/>
          <w:lang w:eastAsia="en-US"/>
        </w:rPr>
        <w:t>SITAR 2.0</w:t>
      </w:r>
      <w:r w:rsidRPr="00E61E59">
        <w:rPr>
          <w:rFonts w:eastAsiaTheme="minorHAnsi" w:cs="Arial"/>
          <w:sz w:val="24"/>
          <w:szCs w:val="24"/>
          <w:lang w:eastAsia="en-US"/>
        </w:rPr>
        <w:t>; l’Osservatorio regionale, quindi, con il un nuovo sistema informativo, a partire dagli ultimi mesi del 2017, ha svolto in modo più efficace la propria attività di monitoraggio dell’intero ciclo di realizzazione degli appalti pubblici dalla fase di programmazione a quella del collaudo, tenendo conto delle sue specificità in relazione alla tipologia e all'importo. Il SITAR 2.0 permette inoltre di assolvere in modo unitario alle diverse esigenze di monitoraggio dei vari organismi legalmente deputati, concentrando in un'unica banca dati le diverse informazioni e semplificando l'azione di invio, realizzando quindi il monitoraggio previsto dal Codice dei contratti pubblici in modo completamente informatico e rendendolo più efficiente e meno gravoso per i soggetti coinvolti.</w:t>
      </w:r>
    </w:p>
    <w:p w14:paraId="48F2D880" w14:textId="2768776D" w:rsidR="00E61E59" w:rsidRDefault="00E61E59" w:rsidP="00140568">
      <w:pPr>
        <w:spacing w:line="276" w:lineRule="auto"/>
        <w:ind w:firstLine="0"/>
        <w:rPr>
          <w:rFonts w:eastAsiaTheme="minorHAnsi" w:cs="Arial"/>
          <w:sz w:val="24"/>
          <w:szCs w:val="24"/>
          <w:lang w:eastAsia="en-US"/>
        </w:rPr>
      </w:pPr>
    </w:p>
    <w:p w14:paraId="351F456D" w14:textId="315216F6" w:rsidR="00140568" w:rsidRPr="00646046" w:rsidRDefault="00E61E59" w:rsidP="00140568">
      <w:pPr>
        <w:spacing w:line="276" w:lineRule="auto"/>
        <w:ind w:firstLine="0"/>
        <w:rPr>
          <w:rFonts w:eastAsiaTheme="minorHAnsi" w:cs="Arial"/>
          <w:sz w:val="24"/>
          <w:szCs w:val="24"/>
          <w:lang w:eastAsia="en-US"/>
        </w:rPr>
      </w:pPr>
      <w:r w:rsidRPr="00E61E59">
        <w:rPr>
          <w:rFonts w:eastAsiaTheme="minorHAnsi" w:cs="Arial"/>
          <w:sz w:val="24"/>
          <w:szCs w:val="24"/>
          <w:lang w:eastAsia="en-US"/>
        </w:rPr>
        <w:lastRenderedPageBreak/>
        <w:t xml:space="preserve">Con l’approvazione della </w:t>
      </w:r>
      <w:r w:rsidRPr="00E61E59">
        <w:rPr>
          <w:rFonts w:eastAsiaTheme="minorHAnsi" w:cs="Arial"/>
          <w:b/>
          <w:sz w:val="24"/>
          <w:szCs w:val="24"/>
          <w:lang w:eastAsia="en-US"/>
        </w:rPr>
        <w:t>nuova legge urbanistica regionale</w:t>
      </w:r>
      <w:r w:rsidRPr="00E61E59">
        <w:rPr>
          <w:rFonts w:eastAsiaTheme="minorHAnsi" w:cs="Arial"/>
          <w:sz w:val="24"/>
          <w:szCs w:val="24"/>
          <w:lang w:eastAsia="en-US"/>
        </w:rPr>
        <w:t xml:space="preserve"> </w:t>
      </w:r>
      <w:r w:rsidRPr="00E61E59">
        <w:rPr>
          <w:rFonts w:eastAsiaTheme="minorHAnsi" w:cs="Arial"/>
          <w:b/>
          <w:sz w:val="24"/>
          <w:szCs w:val="24"/>
          <w:lang w:eastAsia="en-US"/>
        </w:rPr>
        <w:t xml:space="preserve">(L.R. 21 dicembre 2017 n. 24 </w:t>
      </w:r>
      <w:r w:rsidRPr="00E61E59">
        <w:rPr>
          <w:rFonts w:eastAsiaTheme="minorHAnsi" w:cs="Arial"/>
          <w:sz w:val="24"/>
          <w:szCs w:val="24"/>
          <w:lang w:eastAsia="en-US"/>
        </w:rPr>
        <w:t xml:space="preserve">- </w:t>
      </w:r>
      <w:r w:rsidRPr="00E61E59">
        <w:rPr>
          <w:rFonts w:eastAsiaTheme="minorHAnsi" w:cs="Arial"/>
          <w:i/>
          <w:sz w:val="24"/>
          <w:szCs w:val="24"/>
          <w:lang w:eastAsia="en-US"/>
        </w:rPr>
        <w:t>Disciplina regionale sulla tutela e l’uso del territorio</w:t>
      </w:r>
      <w:r w:rsidRPr="00E61E59">
        <w:rPr>
          <w:rFonts w:eastAsiaTheme="minorHAnsi" w:cs="Arial"/>
          <w:sz w:val="24"/>
          <w:szCs w:val="24"/>
          <w:lang w:eastAsia="en-US"/>
        </w:rPr>
        <w:t xml:space="preserve">), sono state introdotte </w:t>
      </w:r>
      <w:r w:rsidRPr="00E61E59">
        <w:rPr>
          <w:rFonts w:eastAsiaTheme="minorHAnsi" w:cs="Arial"/>
          <w:b/>
          <w:sz w:val="24"/>
          <w:szCs w:val="24"/>
          <w:lang w:eastAsia="en-US"/>
        </w:rPr>
        <w:t>norme ed obblighi specifici di contrasto dei fenomeni corruttivi e delle infiltrazioni della criminalità organizzata nell’ambito delle operazioni urbanistiche</w:t>
      </w:r>
      <w:r w:rsidRPr="00E61E59">
        <w:rPr>
          <w:rFonts w:eastAsiaTheme="minorHAnsi" w:cs="Arial"/>
          <w:sz w:val="24"/>
          <w:szCs w:val="24"/>
          <w:lang w:eastAsia="en-US"/>
        </w:rPr>
        <w:t>. In particolare, l’</w:t>
      </w:r>
      <w:r w:rsidRPr="00E61E59">
        <w:rPr>
          <w:rFonts w:eastAsiaTheme="minorHAnsi" w:cs="Arial"/>
          <w:b/>
          <w:sz w:val="24"/>
          <w:szCs w:val="24"/>
          <w:lang w:eastAsia="en-US"/>
        </w:rPr>
        <w:t>articolo</w:t>
      </w:r>
      <w:r w:rsidRPr="00E61E59">
        <w:rPr>
          <w:rFonts w:eastAsiaTheme="minorHAnsi" w:cs="Arial"/>
          <w:sz w:val="24"/>
          <w:szCs w:val="24"/>
          <w:lang w:eastAsia="en-US"/>
        </w:rPr>
        <w:t xml:space="preserve"> </w:t>
      </w:r>
      <w:r w:rsidRPr="00E61E59">
        <w:rPr>
          <w:rFonts w:eastAsiaTheme="minorHAnsi" w:cs="Arial"/>
          <w:b/>
          <w:sz w:val="24"/>
          <w:szCs w:val="24"/>
          <w:lang w:eastAsia="en-US"/>
        </w:rPr>
        <w:t>2</w:t>
      </w:r>
      <w:r w:rsidRPr="00E61E59">
        <w:rPr>
          <w:rFonts w:eastAsiaTheme="minorHAnsi" w:cs="Arial"/>
          <w:sz w:val="24"/>
          <w:szCs w:val="24"/>
          <w:lang w:eastAsia="en-US"/>
        </w:rPr>
        <w:t xml:space="preserve"> (</w:t>
      </w:r>
      <w:r w:rsidRPr="00E61E59">
        <w:rPr>
          <w:rFonts w:eastAsiaTheme="minorHAnsi" w:cs="Arial"/>
          <w:i/>
          <w:sz w:val="24"/>
          <w:szCs w:val="24"/>
          <w:lang w:eastAsia="en-US"/>
        </w:rPr>
        <w:t>Legalità, imparzialità e trasparenza nelle scelte di pianificazione)</w:t>
      </w:r>
      <w:r w:rsidRPr="00E61E59">
        <w:rPr>
          <w:rFonts w:eastAsiaTheme="minorHAnsi" w:cs="Arial"/>
          <w:sz w:val="24"/>
          <w:szCs w:val="24"/>
          <w:lang w:eastAsia="en-US"/>
        </w:rPr>
        <w:t xml:space="preserve">, oltre a ribadire che le amministrazioni pubbliche devono assicurare, anche nell’esercizio delle funzioni di governo del territorio, il rispetto delle disposizioni per la prevenzione della corruzione, la trasparenza e contro i conflitti di interesse, definite dalle leggi statali e dall’ANAC, introduce inoltre </w:t>
      </w:r>
      <w:r w:rsidRPr="00E61E59">
        <w:rPr>
          <w:rFonts w:eastAsiaTheme="minorHAnsi" w:cs="Arial"/>
          <w:b/>
          <w:sz w:val="24"/>
          <w:szCs w:val="24"/>
          <w:lang w:eastAsia="en-US"/>
        </w:rPr>
        <w:t>l’obbligo di acquisire l’informazione antimafia</w:t>
      </w:r>
      <w:r w:rsidRPr="00E61E59">
        <w:rPr>
          <w:rFonts w:eastAsiaTheme="minorHAnsi" w:cs="Arial"/>
          <w:sz w:val="24"/>
          <w:szCs w:val="24"/>
          <w:lang w:eastAsia="en-US"/>
        </w:rPr>
        <w:t xml:space="preserve">, disciplinata dall’articolo 84 del D. Lgs. 159/2011, relativamente ai </w:t>
      </w:r>
      <w:r w:rsidRPr="00E61E59">
        <w:rPr>
          <w:rFonts w:eastAsiaTheme="minorHAnsi" w:cs="Arial"/>
          <w:b/>
          <w:sz w:val="24"/>
          <w:szCs w:val="24"/>
          <w:lang w:eastAsia="en-US"/>
        </w:rPr>
        <w:t>soggetti privati che propongono alle amministrazioni comunali l’esame e l’approvazione di progetti urbanistici</w:t>
      </w:r>
      <w:r w:rsidRPr="00E61E59">
        <w:rPr>
          <w:rFonts w:eastAsiaTheme="minorHAnsi" w:cs="Arial"/>
          <w:sz w:val="24"/>
          <w:szCs w:val="24"/>
          <w:lang w:eastAsia="en-US"/>
        </w:rPr>
        <w:t>, nell’ambito dei diversi procedimenti regolati dalla legge (accordi operativi, accordi di programma e procedimento unico per i progetti di opere pubbliche e di interesse pubblico e per le modifiche di insediamenti produttivi).</w:t>
      </w:r>
    </w:p>
    <w:p w14:paraId="0BB72A30" w14:textId="77777777" w:rsidR="00140568" w:rsidRPr="00646046" w:rsidRDefault="00140568" w:rsidP="00140568">
      <w:pPr>
        <w:spacing w:line="276" w:lineRule="auto"/>
        <w:ind w:firstLine="0"/>
        <w:rPr>
          <w:rFonts w:eastAsiaTheme="minorHAnsi" w:cs="Arial"/>
          <w:sz w:val="24"/>
          <w:szCs w:val="24"/>
          <w:lang w:eastAsia="en-US"/>
        </w:rPr>
      </w:pPr>
    </w:p>
    <w:p w14:paraId="0BBC0970" w14:textId="1F119BDC"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bCs/>
          <w:sz w:val="24"/>
          <w:szCs w:val="24"/>
          <w:lang w:eastAsia="en-US"/>
        </w:rPr>
        <w:t xml:space="preserve">A seguito di diversi incontri tematici e della deliberazione di Giunta n. 15 del 8 gennaio 2018, è stato sottoscritto il </w:t>
      </w:r>
      <w:r w:rsidRPr="00E61E59">
        <w:rPr>
          <w:rFonts w:eastAsiaTheme="minorHAnsi" w:cs="Arial"/>
          <w:b/>
          <w:sz w:val="24"/>
          <w:szCs w:val="24"/>
          <w:lang w:eastAsia="en-US"/>
        </w:rPr>
        <w:t xml:space="preserve">9 marzo 2018 </w:t>
      </w:r>
      <w:r w:rsidRPr="00E61E59">
        <w:rPr>
          <w:rFonts w:eastAsiaTheme="minorHAnsi" w:cs="Arial"/>
          <w:bCs/>
          <w:sz w:val="24"/>
          <w:szCs w:val="24"/>
          <w:lang w:eastAsia="en-US"/>
        </w:rPr>
        <w:t xml:space="preserve">il </w:t>
      </w:r>
      <w:r w:rsidRPr="00E61E59">
        <w:rPr>
          <w:rFonts w:eastAsiaTheme="minorHAnsi" w:cs="Arial"/>
          <w:b/>
          <w:sz w:val="24"/>
          <w:szCs w:val="24"/>
          <w:lang w:eastAsia="en-US"/>
        </w:rPr>
        <w:t>Protocollo di intesa per la legalità negli appalti di lavori pubblici e negli interventi urbanistici ed edilizi</w:t>
      </w:r>
      <w:r w:rsidRPr="00E61E59">
        <w:rPr>
          <w:rFonts w:eastAsiaTheme="minorHAnsi" w:cs="Arial"/>
          <w:sz w:val="24"/>
          <w:szCs w:val="24"/>
          <w:lang w:eastAsia="en-US"/>
        </w:rPr>
        <w:t>, tra la Regione, il Commissario delegato per la ricostruzione e le nove Prefetture/Uffici territoriali del governo, operanti in Emilia-Romagna, volto ad incrementare le misure di contrasto ai tentativi di inserimento della criminalità organizzata nel settore delle opere pubbliche e dell’edilizia privata, migliorando l'interscambio informativo tra gli enti sottoscrittori, garantendo maggiore efficacia della prevenzione e del controllo, anche tramite l'estensione delle verifiche antimafia a tutti gli interventi finanziati con fondi destinati alla ricostruzione. Nell’ambito di tale Protocollo, volto ad aggiornare, integrare e rinnovare l’omologo accordo siglato il 5 marzo 2012, tra la Regione e le Prefetture, oltre a recepire il nuovo Codice degli appalti pubblici</w:t>
      </w:r>
      <w:r w:rsidRPr="00E61E59">
        <w:rPr>
          <w:rFonts w:eastAsiaTheme="minorHAnsi" w:cs="Arial"/>
          <w:b/>
          <w:bCs/>
          <w:sz w:val="24"/>
          <w:szCs w:val="24"/>
          <w:lang w:eastAsia="en-US"/>
        </w:rPr>
        <w:t xml:space="preserve">, </w:t>
      </w:r>
      <w:r w:rsidRPr="006A6DDB">
        <w:rPr>
          <w:rFonts w:eastAsiaTheme="minorHAnsi" w:cs="Arial"/>
          <w:sz w:val="24"/>
          <w:szCs w:val="24"/>
          <w:lang w:eastAsia="en-US"/>
        </w:rPr>
        <w:t>con la</w:t>
      </w:r>
      <w:r w:rsidRPr="00E61E59">
        <w:rPr>
          <w:rFonts w:eastAsiaTheme="minorHAnsi" w:cs="Arial"/>
          <w:b/>
          <w:bCs/>
          <w:sz w:val="24"/>
          <w:szCs w:val="24"/>
          <w:lang w:eastAsia="en-US"/>
        </w:rPr>
        <w:t xml:space="preserve"> deliberazione di Giunta n. 2032 del 14/11/2019,</w:t>
      </w:r>
      <w:r w:rsidRPr="00E61E59">
        <w:rPr>
          <w:rFonts w:eastAsiaTheme="minorHAnsi" w:cs="Arial"/>
          <w:sz w:val="24"/>
          <w:szCs w:val="24"/>
          <w:lang w:eastAsia="en-US"/>
        </w:rPr>
        <w:t xml:space="preserve"> è stato approvato l’Accordo attuativo dell’Intesa per la legalità firmato </w:t>
      </w:r>
      <w:bookmarkStart w:id="2" w:name="_Hlk26873959"/>
      <w:r w:rsidRPr="00E61E59">
        <w:rPr>
          <w:rFonts w:eastAsiaTheme="minorHAnsi" w:cs="Arial"/>
          <w:sz w:val="24"/>
          <w:szCs w:val="24"/>
          <w:lang w:eastAsia="en-US"/>
        </w:rPr>
        <w:t xml:space="preserve">il 9 marzo 2018 </w:t>
      </w:r>
      <w:bookmarkEnd w:id="2"/>
      <w:r w:rsidRPr="00E61E59">
        <w:rPr>
          <w:rFonts w:eastAsiaTheme="minorHAnsi" w:cs="Arial"/>
          <w:sz w:val="24"/>
          <w:szCs w:val="24"/>
          <w:lang w:eastAsia="en-US"/>
        </w:rPr>
        <w:t>per la presentazione alle Prefetture-UTG, attraverso il sistema informativo regionale SICO della notifica preliminare dei cantieri pubblici, di cui all’art. 26 del Decreto Legge 4 ottobre 2018, n. 113 (convertito con modificazioni dalla legge 1 dicembre 2018, n. 132). Tale Accordo dà anche attuazione a quanto previsto dagli art. 30 e 31, della LR. 18/2016, in materia di potenziamento delle attività di controllo e monitoraggio della regolarità dei cantieri.</w:t>
      </w:r>
    </w:p>
    <w:p w14:paraId="47C2D77E"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 xml:space="preserve">Inoltre, si prevedono anche misure indirizzate ad agevolare </w:t>
      </w:r>
      <w:r w:rsidRPr="00E61E59">
        <w:rPr>
          <w:rFonts w:eastAsiaTheme="minorHAnsi" w:cs="Arial"/>
          <w:b/>
          <w:bCs/>
          <w:sz w:val="24"/>
          <w:szCs w:val="24"/>
          <w:lang w:eastAsia="en-US"/>
        </w:rPr>
        <w:t>l’attuazione dell'art. 32 della L.R. 18/2016</w:t>
      </w:r>
      <w:r w:rsidRPr="00E61E59">
        <w:rPr>
          <w:rFonts w:eastAsiaTheme="minorHAnsi" w:cs="Arial"/>
          <w:sz w:val="24"/>
          <w:szCs w:val="24"/>
          <w:lang w:eastAsia="en-US"/>
        </w:rPr>
        <w:t xml:space="preserve"> sul </w:t>
      </w:r>
      <w:r w:rsidRPr="00E61E59">
        <w:rPr>
          <w:rFonts w:eastAsiaTheme="minorHAnsi" w:cs="Arial"/>
          <w:b/>
          <w:sz w:val="24"/>
          <w:szCs w:val="24"/>
          <w:lang w:eastAsia="en-US"/>
        </w:rPr>
        <w:t>requisito della comunicazione antimafia per i titoli abilitativi edilizi relativi ad interventi di valore complessivo superiore a 150mila euro</w:t>
      </w:r>
      <w:r w:rsidRPr="00E61E59">
        <w:rPr>
          <w:rFonts w:eastAsiaTheme="minorHAnsi" w:cs="Arial"/>
          <w:sz w:val="24"/>
          <w:szCs w:val="24"/>
          <w:lang w:eastAsia="en-US"/>
        </w:rPr>
        <w:t>, nonché l’attuazione delle richiamate norme della nuova legge urbanistica regionale (L.R. n. 24 del 2017) inerenti all’obbligo di informazione antimafia per i soggetti privati proponenti progetti urbanistici.</w:t>
      </w:r>
    </w:p>
    <w:p w14:paraId="18D1D365"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Con il Protocollo, firmato il 9 marzo 2018, per le specifiche esigenze legate al processo della ricostruzione post-sisma, fino alla cessazione dello stato di emergenza, il Commissario delegato alla ricostruzione si impegna a mettere a disposizione delle Prefetture che insistono sul cd. “cratere” (Bologna, Ferrara, Modena e Reggio Emilia) le risorse umane necessarie e strumentali con il coinvolgimento, anche ai fini della programmazione informatica, di personale esperto.</w:t>
      </w:r>
    </w:p>
    <w:p w14:paraId="44A77C45"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lastRenderedPageBreak/>
        <w:t>Va rimarcato che il Protocollo migliora l’interscambio informativo tra le Prefetture e le altre Pubbliche amministrazioni per garantire una maggiore efficacia e tempestività delle verifiche delle imprese interessate, ed è anche teso a concordare prassi amministrative, clausole contrattuali che assicurino più elevati livelli di prevenzione delle infiltrazioni criminali.</w:t>
      </w:r>
    </w:p>
    <w:p w14:paraId="68572DD8"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Va rimarcato, inoltre, che le misure di prevenzione e contrasto ai tentativi di infiltrazione criminale e mafiosa sono estese non solo all’ambito pubblico, ma anche al settore dell’edilizia privata puntando a promuovere il rispetto delle discipline sull’antimafia, sulla regolarità contributiva, sulla sicurezza nei cantieri e sulla tutela del lavoro in tutte le sue forme.</w:t>
      </w:r>
    </w:p>
    <w:p w14:paraId="01431D8C" w14:textId="77777777" w:rsidR="00140568" w:rsidRPr="00646046" w:rsidRDefault="00140568" w:rsidP="00140568">
      <w:pPr>
        <w:spacing w:line="276" w:lineRule="auto"/>
        <w:ind w:firstLine="0"/>
        <w:rPr>
          <w:rFonts w:eastAsiaTheme="minorHAnsi" w:cs="Arial"/>
          <w:sz w:val="24"/>
          <w:szCs w:val="24"/>
          <w:lang w:eastAsia="en-US"/>
        </w:rPr>
      </w:pPr>
    </w:p>
    <w:p w14:paraId="06D13D7C" w14:textId="77777777" w:rsidR="00140568" w:rsidRPr="00646046"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Con la sottoscrizione di accordi di programma, la Regione poi ha sostenuto un ampio spettro di azioni nell’ambito della </w:t>
      </w:r>
      <w:r w:rsidRPr="00646046">
        <w:rPr>
          <w:rFonts w:eastAsiaTheme="minorHAnsi" w:cs="Arial"/>
          <w:b/>
          <w:sz w:val="24"/>
          <w:szCs w:val="24"/>
          <w:lang w:eastAsia="en-US"/>
        </w:rPr>
        <w:t>promozione della cultura della legalità</w:t>
      </w:r>
      <w:r w:rsidRPr="00646046">
        <w:rPr>
          <w:rFonts w:eastAsiaTheme="minorHAnsi" w:cs="Arial"/>
          <w:sz w:val="24"/>
          <w:szCs w:val="24"/>
          <w:lang w:eastAsia="en-US"/>
        </w:rPr>
        <w:t xml:space="preserve">: interventi di sensibilizzazione e formativi, specialmente per i più giovani; costituzione di “Centri per la legalità”; attivazione di </w:t>
      </w:r>
      <w:r w:rsidRPr="00646046">
        <w:rPr>
          <w:rFonts w:eastAsiaTheme="minorHAnsi" w:cs="Arial"/>
          <w:b/>
          <w:sz w:val="24"/>
          <w:szCs w:val="24"/>
          <w:lang w:eastAsia="en-US"/>
        </w:rPr>
        <w:t>Osservatori locali sulla criminalità organizzata e per la diffusione della cultura della legalità</w:t>
      </w:r>
      <w:r w:rsidRPr="00646046">
        <w:rPr>
          <w:rFonts w:eastAsiaTheme="minorHAnsi" w:cs="Arial"/>
          <w:sz w:val="24"/>
          <w:szCs w:val="24"/>
          <w:lang w:eastAsia="en-US"/>
        </w:rPr>
        <w:t xml:space="preserve">. Ne è stata sostenuta la creazione: nella provincia di Rimini, nella Città Metropolitana di Bologna, nelle amministrazioni comunali di Forlì e Parma e nelle Unioni Terre d’Argine (MO) e </w:t>
      </w:r>
      <w:proofErr w:type="spellStart"/>
      <w:r w:rsidRPr="00646046">
        <w:rPr>
          <w:rFonts w:eastAsiaTheme="minorHAnsi" w:cs="Arial"/>
          <w:sz w:val="24"/>
          <w:szCs w:val="24"/>
          <w:lang w:eastAsia="en-US"/>
        </w:rPr>
        <w:t>Tresinaro</w:t>
      </w:r>
      <w:proofErr w:type="spellEnd"/>
      <w:r w:rsidRPr="00646046">
        <w:rPr>
          <w:rFonts w:eastAsiaTheme="minorHAnsi" w:cs="Arial"/>
          <w:sz w:val="24"/>
          <w:szCs w:val="24"/>
          <w:lang w:eastAsia="en-US"/>
        </w:rPr>
        <w:t xml:space="preserve"> Secchia (RE).</w:t>
      </w:r>
    </w:p>
    <w:p w14:paraId="24306550" w14:textId="77777777" w:rsidR="00140568" w:rsidRPr="00646046" w:rsidRDefault="00140568" w:rsidP="00140568">
      <w:pPr>
        <w:spacing w:line="276" w:lineRule="auto"/>
        <w:ind w:firstLine="0"/>
        <w:rPr>
          <w:rFonts w:eastAsiaTheme="minorHAnsi" w:cs="Arial"/>
          <w:sz w:val="24"/>
          <w:szCs w:val="24"/>
          <w:lang w:eastAsia="en-US"/>
        </w:rPr>
      </w:pPr>
    </w:p>
    <w:p w14:paraId="6FAB73EE" w14:textId="22423056" w:rsidR="00140568" w:rsidRDefault="00140568" w:rsidP="00140568">
      <w:pPr>
        <w:spacing w:line="276" w:lineRule="auto"/>
        <w:ind w:firstLine="0"/>
        <w:rPr>
          <w:rFonts w:eastAsiaTheme="minorHAnsi" w:cs="Arial"/>
          <w:sz w:val="24"/>
          <w:szCs w:val="24"/>
          <w:lang w:eastAsia="en-US"/>
        </w:rPr>
      </w:pPr>
      <w:r w:rsidRPr="00646046">
        <w:rPr>
          <w:rFonts w:eastAsiaTheme="minorHAnsi" w:cs="Arial"/>
          <w:sz w:val="24"/>
          <w:szCs w:val="24"/>
          <w:lang w:eastAsia="en-US"/>
        </w:rPr>
        <w:t xml:space="preserve">In </w:t>
      </w:r>
      <w:r w:rsidRPr="00646046">
        <w:rPr>
          <w:rFonts w:eastAsiaTheme="minorHAnsi" w:cs="Arial"/>
          <w:b/>
          <w:sz w:val="24"/>
          <w:szCs w:val="24"/>
          <w:lang w:eastAsia="en-US"/>
        </w:rPr>
        <w:t>materia forestale</w:t>
      </w:r>
      <w:r w:rsidRPr="00646046">
        <w:rPr>
          <w:rFonts w:eastAsiaTheme="minorHAnsi" w:cs="Arial"/>
          <w:sz w:val="24"/>
          <w:szCs w:val="24"/>
          <w:lang w:eastAsia="en-US"/>
        </w:rPr>
        <w:t>, a livello legislativo, con l’introduzione dell’art. 3 della L.R. 18 luglio 2017, n. 16 («</w:t>
      </w:r>
      <w:r w:rsidRPr="00646046">
        <w:rPr>
          <w:rFonts w:eastAsiaTheme="minorHAnsi" w:cs="Arial"/>
          <w:i/>
          <w:sz w:val="24"/>
          <w:szCs w:val="24"/>
          <w:lang w:eastAsia="en-US"/>
        </w:rPr>
        <w:t>Disposizioni per l’adeguamento dell’ordinamento regionale in materia ambientale e a favore dei territori colpiti da eventi sismici»</w:t>
      </w:r>
      <w:r w:rsidRPr="00646046">
        <w:rPr>
          <w:rFonts w:eastAsiaTheme="minorHAnsi" w:cs="Arial"/>
          <w:sz w:val="24"/>
          <w:szCs w:val="24"/>
          <w:lang w:eastAsia="en-US"/>
        </w:rPr>
        <w:t xml:space="preserve">) è stato modificato l’art. 15 della L.R. n. 30/1981 prevedendo che ai fini dello svolgimento delle funzioni di vigilanza e accertamento delle violazioni del Regolamento forestale, spettanti ai Comuni e alle loro Unioni, la Regione promuove le forme di collaborazione di cui all'articolo 42 della L.R 18/2016 con l'Arma dei Carabinieri e con gli altri soggetti preposti, e che analoghe forme di collaborazione, per le medesime finalità, possono essere attivate dagli enti competenti in materia forestale e dagli enti di gestione delle aree protette e dei siti della Rete natura 2000. </w:t>
      </w:r>
    </w:p>
    <w:p w14:paraId="28632F2B"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Con l’approvazione del nuovo Regolamento Forestale Regionale n. 3/2018 (in vigore dal 15/9/2018) e delle relative disposizioni attuative dedicate al funzionamento del sistema telematico regionale (con deliberazione di Giunta regionale n. 1437 del 10/9/2018) è stata completata la regolazione del nuovo sistema, attraverso il quale le autorizzazioni rilasciate dagli enti competenti e le comunicazioni presentate dagli interessati sono autonomamente rese disponibili ai soggetti e alle autorità preposti alle attività di controllo, preventivamente abilitati per l'esercizio delle loro funzioni.</w:t>
      </w:r>
    </w:p>
    <w:p w14:paraId="00154A75" w14:textId="77777777" w:rsidR="00E61E59" w:rsidRPr="00E61E59" w:rsidRDefault="00E61E59" w:rsidP="00E61E59">
      <w:pPr>
        <w:spacing w:line="276" w:lineRule="auto"/>
        <w:ind w:firstLine="0"/>
        <w:rPr>
          <w:rFonts w:eastAsiaTheme="minorHAnsi" w:cs="Arial"/>
          <w:sz w:val="24"/>
          <w:szCs w:val="24"/>
          <w:lang w:eastAsia="en-US"/>
        </w:rPr>
      </w:pPr>
      <w:r w:rsidRPr="00E61E59">
        <w:rPr>
          <w:rFonts w:eastAsiaTheme="minorHAnsi" w:cs="Arial"/>
          <w:sz w:val="24"/>
          <w:szCs w:val="24"/>
          <w:lang w:eastAsia="en-US"/>
        </w:rPr>
        <w:t>Il sistema così impostato è uno strumento di efficienza e semplificazione non solo nella gestione delle autorizzazioni e delle comunicazioni relative agli interventi forestali, ma anche nel monitoraggio e nel controllo degli stessi. Dal 15/9/2018 (data di entrata in vigore del nuovo Regolamento forestale) ad oggi, attraverso il sistema telematico regionale sono stati gestiti più di 4.000 procedimenti, relativi a interventi che hanno complessivamente interessato circa 9.000 ettari del territorio regionale.</w:t>
      </w:r>
    </w:p>
    <w:p w14:paraId="4BD62912" w14:textId="77777777" w:rsidR="00E61E59" w:rsidRPr="00E61E59" w:rsidRDefault="00E61E59" w:rsidP="00E61E59">
      <w:pPr>
        <w:spacing w:line="276" w:lineRule="auto"/>
        <w:ind w:firstLine="0"/>
        <w:rPr>
          <w:rFonts w:eastAsiaTheme="minorHAnsi" w:cs="Arial"/>
          <w:sz w:val="24"/>
          <w:szCs w:val="24"/>
          <w:lang w:eastAsia="en-US"/>
        </w:rPr>
      </w:pPr>
    </w:p>
    <w:p w14:paraId="6045286F" w14:textId="77777777" w:rsidR="00E61E59" w:rsidRDefault="00E61E59" w:rsidP="00140568">
      <w:pPr>
        <w:spacing w:line="276" w:lineRule="auto"/>
        <w:ind w:firstLine="0"/>
        <w:rPr>
          <w:rFonts w:eastAsiaTheme="minorHAnsi" w:cs="Arial"/>
          <w:sz w:val="24"/>
          <w:szCs w:val="24"/>
          <w:lang w:eastAsia="en-US"/>
        </w:rPr>
      </w:pPr>
    </w:p>
    <w:p w14:paraId="40E083A0" w14:textId="77777777" w:rsidR="00E61E59" w:rsidRPr="00646046" w:rsidRDefault="00E61E59" w:rsidP="00140568">
      <w:pPr>
        <w:spacing w:line="276" w:lineRule="auto"/>
        <w:ind w:firstLine="0"/>
        <w:rPr>
          <w:rFonts w:eastAsiaTheme="minorHAnsi" w:cs="Arial"/>
          <w:sz w:val="24"/>
          <w:szCs w:val="24"/>
          <w:lang w:eastAsia="en-US"/>
        </w:rPr>
      </w:pPr>
    </w:p>
    <w:p w14:paraId="41EA468A" w14:textId="77777777" w:rsidR="00140568" w:rsidRPr="00140568" w:rsidRDefault="00140568">
      <w:pPr>
        <w:rPr>
          <w:sz w:val="24"/>
          <w:szCs w:val="24"/>
        </w:rPr>
      </w:pPr>
    </w:p>
    <w:sectPr w:rsidR="00140568" w:rsidRPr="0014056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ADA3" w14:textId="77777777" w:rsidR="00BC0F2E" w:rsidRDefault="00BC0F2E" w:rsidP="007D06FE">
      <w:pPr>
        <w:spacing w:line="240" w:lineRule="auto"/>
      </w:pPr>
      <w:r>
        <w:separator/>
      </w:r>
    </w:p>
  </w:endnote>
  <w:endnote w:type="continuationSeparator" w:id="0">
    <w:p w14:paraId="316CA29D" w14:textId="77777777" w:rsidR="00BC0F2E" w:rsidRDefault="00BC0F2E" w:rsidP="007D0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Fixed">
    <w:altName w:val="Simplified Arabic Fixed"/>
    <w:charset w:val="B2"/>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927555"/>
      <w:docPartObj>
        <w:docPartGallery w:val="Page Numbers (Bottom of Page)"/>
        <w:docPartUnique/>
      </w:docPartObj>
    </w:sdtPr>
    <w:sdtEndPr/>
    <w:sdtContent>
      <w:p w14:paraId="35CEDF39" w14:textId="775C93B9" w:rsidR="007D06FE" w:rsidRDefault="007D06FE">
        <w:pPr>
          <w:pStyle w:val="Pidipagina"/>
          <w:jc w:val="center"/>
        </w:pPr>
        <w:r>
          <w:fldChar w:fldCharType="begin"/>
        </w:r>
        <w:r>
          <w:instrText>PAGE   \* MERGEFORMAT</w:instrText>
        </w:r>
        <w:r>
          <w:fldChar w:fldCharType="separate"/>
        </w:r>
        <w:r>
          <w:t>2</w:t>
        </w:r>
        <w:r>
          <w:fldChar w:fldCharType="end"/>
        </w:r>
      </w:p>
    </w:sdtContent>
  </w:sdt>
  <w:p w14:paraId="42758D0C" w14:textId="77777777" w:rsidR="007D06FE" w:rsidRDefault="007D06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B744" w14:textId="77777777" w:rsidR="00BC0F2E" w:rsidRDefault="00BC0F2E" w:rsidP="007D06FE">
      <w:pPr>
        <w:spacing w:line="240" w:lineRule="auto"/>
      </w:pPr>
      <w:r>
        <w:separator/>
      </w:r>
    </w:p>
  </w:footnote>
  <w:footnote w:type="continuationSeparator" w:id="0">
    <w:p w14:paraId="2A86B6DB" w14:textId="77777777" w:rsidR="00BC0F2E" w:rsidRDefault="00BC0F2E" w:rsidP="007D06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5BBD"/>
    <w:multiLevelType w:val="hybridMultilevel"/>
    <w:tmpl w:val="50483CFC"/>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112946"/>
    <w:multiLevelType w:val="hybridMultilevel"/>
    <w:tmpl w:val="552CDC22"/>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C15CF"/>
    <w:multiLevelType w:val="hybridMultilevel"/>
    <w:tmpl w:val="AD088864"/>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66"/>
    <w:rsid w:val="00082CAC"/>
    <w:rsid w:val="000C00FF"/>
    <w:rsid w:val="00140568"/>
    <w:rsid w:val="00274B5D"/>
    <w:rsid w:val="00285BB4"/>
    <w:rsid w:val="00373AE1"/>
    <w:rsid w:val="004427EC"/>
    <w:rsid w:val="00450994"/>
    <w:rsid w:val="004538CB"/>
    <w:rsid w:val="00470D5A"/>
    <w:rsid w:val="004E5069"/>
    <w:rsid w:val="005A0AAD"/>
    <w:rsid w:val="005B25E2"/>
    <w:rsid w:val="005D16A6"/>
    <w:rsid w:val="0060724B"/>
    <w:rsid w:val="00671D58"/>
    <w:rsid w:val="006720FA"/>
    <w:rsid w:val="00677C34"/>
    <w:rsid w:val="006879DB"/>
    <w:rsid w:val="006A6DDB"/>
    <w:rsid w:val="006B7F99"/>
    <w:rsid w:val="006C43CD"/>
    <w:rsid w:val="006C62B5"/>
    <w:rsid w:val="007001E7"/>
    <w:rsid w:val="007742B5"/>
    <w:rsid w:val="007A3B88"/>
    <w:rsid w:val="007D06FE"/>
    <w:rsid w:val="00812C59"/>
    <w:rsid w:val="00854445"/>
    <w:rsid w:val="00955779"/>
    <w:rsid w:val="00997D79"/>
    <w:rsid w:val="009B6866"/>
    <w:rsid w:val="00A502E8"/>
    <w:rsid w:val="00AA4791"/>
    <w:rsid w:val="00AE6000"/>
    <w:rsid w:val="00B11E22"/>
    <w:rsid w:val="00B50BBE"/>
    <w:rsid w:val="00B56737"/>
    <w:rsid w:val="00BB0515"/>
    <w:rsid w:val="00BB0FF5"/>
    <w:rsid w:val="00BC0F2E"/>
    <w:rsid w:val="00C30CB0"/>
    <w:rsid w:val="00C74E99"/>
    <w:rsid w:val="00C92134"/>
    <w:rsid w:val="00CE02D0"/>
    <w:rsid w:val="00D92E87"/>
    <w:rsid w:val="00DC0FEA"/>
    <w:rsid w:val="00E61E59"/>
    <w:rsid w:val="00FA6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B0FF"/>
  <w15:chartTrackingRefBased/>
  <w15:docId w15:val="{F85326CB-CC68-4DF1-8AB2-04F569D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866"/>
    <w:pPr>
      <w:spacing w:after="0" w:line="240" w:lineRule="atLeast"/>
      <w:ind w:firstLine="227"/>
      <w:jc w:val="both"/>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6866"/>
    <w:pPr>
      <w:ind w:left="720"/>
      <w:contextualSpacing/>
    </w:pPr>
  </w:style>
  <w:style w:type="paragraph" w:styleId="Testofumetto">
    <w:name w:val="Balloon Text"/>
    <w:basedOn w:val="Normale"/>
    <w:link w:val="TestofumettoCarattere"/>
    <w:uiPriority w:val="99"/>
    <w:semiHidden/>
    <w:unhideWhenUsed/>
    <w:rsid w:val="00E61E5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1E59"/>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7D06F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D06FE"/>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7D06F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D06FE"/>
    <w:rPr>
      <w:rFonts w:ascii="Arial" w:eastAsia="Times New Roman" w:hAnsi="Arial" w:cs="Times New Roman"/>
      <w:sz w:val="20"/>
      <w:szCs w:val="20"/>
      <w:lang w:eastAsia="it-IT"/>
    </w:rPr>
  </w:style>
  <w:style w:type="character" w:styleId="Collegamentoipertestuale">
    <w:name w:val="Hyperlink"/>
    <w:basedOn w:val="Carpredefinitoparagrafo"/>
    <w:uiPriority w:val="99"/>
    <w:unhideWhenUsed/>
    <w:rsid w:val="005B25E2"/>
    <w:rPr>
      <w:color w:val="0563C1" w:themeColor="hyperlink"/>
      <w:u w:val="single"/>
    </w:rPr>
  </w:style>
  <w:style w:type="character" w:styleId="Menzionenonrisolta">
    <w:name w:val="Unresolved Mention"/>
    <w:basedOn w:val="Carpredefinitoparagrafo"/>
    <w:uiPriority w:val="99"/>
    <w:semiHidden/>
    <w:unhideWhenUsed/>
    <w:rsid w:val="005B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97469">
      <w:bodyDiv w:val="1"/>
      <w:marLeft w:val="0"/>
      <w:marRight w:val="0"/>
      <w:marTop w:val="0"/>
      <w:marBottom w:val="0"/>
      <w:divBdr>
        <w:top w:val="none" w:sz="0" w:space="0" w:color="auto"/>
        <w:left w:val="none" w:sz="0" w:space="0" w:color="auto"/>
        <w:bottom w:val="none" w:sz="0" w:space="0" w:color="auto"/>
        <w:right w:val="none" w:sz="0" w:space="0" w:color="auto"/>
      </w:divBdr>
    </w:div>
    <w:div w:id="283509371">
      <w:bodyDiv w:val="1"/>
      <w:marLeft w:val="0"/>
      <w:marRight w:val="0"/>
      <w:marTop w:val="0"/>
      <w:marBottom w:val="0"/>
      <w:divBdr>
        <w:top w:val="none" w:sz="0" w:space="0" w:color="auto"/>
        <w:left w:val="none" w:sz="0" w:space="0" w:color="auto"/>
        <w:bottom w:val="none" w:sz="0" w:space="0" w:color="auto"/>
        <w:right w:val="none" w:sz="0" w:space="0" w:color="auto"/>
      </w:divBdr>
    </w:div>
    <w:div w:id="506604331">
      <w:bodyDiv w:val="1"/>
      <w:marLeft w:val="0"/>
      <w:marRight w:val="0"/>
      <w:marTop w:val="0"/>
      <w:marBottom w:val="0"/>
      <w:divBdr>
        <w:top w:val="none" w:sz="0" w:space="0" w:color="auto"/>
        <w:left w:val="none" w:sz="0" w:space="0" w:color="auto"/>
        <w:bottom w:val="none" w:sz="0" w:space="0" w:color="auto"/>
        <w:right w:val="none" w:sz="0" w:space="0" w:color="auto"/>
      </w:divBdr>
    </w:div>
    <w:div w:id="612400380">
      <w:bodyDiv w:val="1"/>
      <w:marLeft w:val="0"/>
      <w:marRight w:val="0"/>
      <w:marTop w:val="0"/>
      <w:marBottom w:val="0"/>
      <w:divBdr>
        <w:top w:val="none" w:sz="0" w:space="0" w:color="auto"/>
        <w:left w:val="none" w:sz="0" w:space="0" w:color="auto"/>
        <w:bottom w:val="none" w:sz="0" w:space="0" w:color="auto"/>
        <w:right w:val="none" w:sz="0" w:space="0" w:color="auto"/>
      </w:divBdr>
    </w:div>
    <w:div w:id="842356841">
      <w:bodyDiv w:val="1"/>
      <w:marLeft w:val="0"/>
      <w:marRight w:val="0"/>
      <w:marTop w:val="0"/>
      <w:marBottom w:val="0"/>
      <w:divBdr>
        <w:top w:val="none" w:sz="0" w:space="0" w:color="auto"/>
        <w:left w:val="none" w:sz="0" w:space="0" w:color="auto"/>
        <w:bottom w:val="none" w:sz="0" w:space="0" w:color="auto"/>
        <w:right w:val="none" w:sz="0" w:space="0" w:color="auto"/>
      </w:divBdr>
    </w:div>
    <w:div w:id="1288975772">
      <w:bodyDiv w:val="1"/>
      <w:marLeft w:val="0"/>
      <w:marRight w:val="0"/>
      <w:marTop w:val="0"/>
      <w:marBottom w:val="0"/>
      <w:divBdr>
        <w:top w:val="none" w:sz="0" w:space="0" w:color="auto"/>
        <w:left w:val="none" w:sz="0" w:space="0" w:color="auto"/>
        <w:bottom w:val="none" w:sz="0" w:space="0" w:color="auto"/>
        <w:right w:val="none" w:sz="0" w:space="0" w:color="auto"/>
      </w:divBdr>
    </w:div>
    <w:div w:id="1415661628">
      <w:bodyDiv w:val="1"/>
      <w:marLeft w:val="0"/>
      <w:marRight w:val="0"/>
      <w:marTop w:val="0"/>
      <w:marBottom w:val="0"/>
      <w:divBdr>
        <w:top w:val="none" w:sz="0" w:space="0" w:color="auto"/>
        <w:left w:val="none" w:sz="0" w:space="0" w:color="auto"/>
        <w:bottom w:val="none" w:sz="0" w:space="0" w:color="auto"/>
        <w:right w:val="none" w:sz="0" w:space="0" w:color="auto"/>
      </w:divBdr>
    </w:div>
    <w:div w:id="1646085235">
      <w:bodyDiv w:val="1"/>
      <w:marLeft w:val="0"/>
      <w:marRight w:val="0"/>
      <w:marTop w:val="0"/>
      <w:marBottom w:val="0"/>
      <w:divBdr>
        <w:top w:val="none" w:sz="0" w:space="0" w:color="auto"/>
        <w:left w:val="none" w:sz="0" w:space="0" w:color="auto"/>
        <w:bottom w:val="none" w:sz="0" w:space="0" w:color="auto"/>
        <w:right w:val="none" w:sz="0" w:space="0" w:color="auto"/>
      </w:divBdr>
    </w:div>
    <w:div w:id="1773358719">
      <w:bodyDiv w:val="1"/>
      <w:marLeft w:val="0"/>
      <w:marRight w:val="0"/>
      <w:marTop w:val="0"/>
      <w:marBottom w:val="0"/>
      <w:divBdr>
        <w:top w:val="none" w:sz="0" w:space="0" w:color="auto"/>
        <w:left w:val="none" w:sz="0" w:space="0" w:color="auto"/>
        <w:bottom w:val="none" w:sz="0" w:space="0" w:color="auto"/>
        <w:right w:val="none" w:sz="0" w:space="0" w:color="auto"/>
      </w:divBdr>
    </w:div>
    <w:div w:id="20960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ra.it/leg18/494?idLegislatura=18&amp;categoria=038&amp;tipologiaDoc=elenco_categoria" TargetMode="External"/><Relationship Id="rId3" Type="http://schemas.openxmlformats.org/officeDocument/2006/relationships/settings" Target="settings.xml"/><Relationship Id="rId7" Type="http://schemas.openxmlformats.org/officeDocument/2006/relationships/hyperlink" Target="http://uif.bancaditalia.it/pubblicazioni/rapporto-annu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4177</Words>
  <Characters>23811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Arcidiacono Eugenio</dc:creator>
  <cp:keywords/>
  <dc:description/>
  <cp:lastModifiedBy>Pazzi Ivanna</cp:lastModifiedBy>
  <cp:revision>4</cp:revision>
  <cp:lastPrinted>2019-12-20T12:15:00Z</cp:lastPrinted>
  <dcterms:created xsi:type="dcterms:W3CDTF">2019-12-20T15:48:00Z</dcterms:created>
  <dcterms:modified xsi:type="dcterms:W3CDTF">2019-12-20T17:21:00Z</dcterms:modified>
</cp:coreProperties>
</file>